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41034D">
      <w:pPr>
        <w:ind w:firstLine="0" w:firstLineChars="0"/>
        <w:jc w:val="center"/>
        <w:rPr>
          <w:rFonts w:ascii="黑体" w:hAnsi="黑体" w:eastAsia="黑体"/>
          <w:sz w:val="36"/>
          <w:szCs w:val="36"/>
        </w:rPr>
      </w:pPr>
    </w:p>
    <w:p w14:paraId="0327ED94">
      <w:pPr>
        <w:ind w:firstLine="0" w:firstLineChars="0"/>
        <w:jc w:val="center"/>
        <w:rPr>
          <w:rFonts w:ascii="黑体" w:hAnsi="黑体" w:eastAsia="黑体"/>
          <w:sz w:val="36"/>
          <w:szCs w:val="36"/>
        </w:rPr>
      </w:pPr>
    </w:p>
    <w:p w14:paraId="79848082">
      <w:pPr>
        <w:ind w:firstLine="0" w:firstLineChars="0"/>
        <w:jc w:val="center"/>
        <w:rPr>
          <w:rFonts w:ascii="黑体" w:hAnsi="黑体" w:eastAsia="黑体"/>
          <w:sz w:val="36"/>
          <w:szCs w:val="36"/>
        </w:rPr>
      </w:pPr>
    </w:p>
    <w:p w14:paraId="48AEE905">
      <w:pPr>
        <w:ind w:firstLine="0" w:firstLineChars="0"/>
        <w:jc w:val="center"/>
        <w:rPr>
          <w:rFonts w:ascii="黑体" w:hAnsi="黑体" w:eastAsia="黑体"/>
          <w:sz w:val="36"/>
          <w:szCs w:val="36"/>
        </w:rPr>
      </w:pPr>
    </w:p>
    <w:p w14:paraId="677B7F0B">
      <w:pPr>
        <w:ind w:firstLine="0" w:firstLineChars="0"/>
        <w:jc w:val="center"/>
        <w:rPr>
          <w:rFonts w:ascii="黑体" w:hAnsi="黑体" w:eastAsia="黑体"/>
          <w:sz w:val="36"/>
          <w:szCs w:val="36"/>
        </w:rPr>
      </w:pPr>
    </w:p>
    <w:p w14:paraId="73102753">
      <w:pPr>
        <w:ind w:firstLine="0" w:firstLineChars="0"/>
        <w:jc w:val="center"/>
        <w:rPr>
          <w:rFonts w:ascii="黑体" w:hAnsi="黑体" w:eastAsia="黑体"/>
          <w:sz w:val="36"/>
          <w:szCs w:val="36"/>
        </w:rPr>
      </w:pPr>
      <w:r>
        <w:rPr>
          <w:rFonts w:hint="eastAsia" w:ascii="黑体" w:hAnsi="黑体" w:eastAsia="黑体"/>
          <w:sz w:val="36"/>
          <w:szCs w:val="36"/>
        </w:rPr>
        <w:t>保障超大城市能源安全的韧性电网企业建设实践</w:t>
      </w:r>
    </w:p>
    <w:p w14:paraId="34F14F84">
      <w:pPr>
        <w:ind w:firstLine="0" w:firstLineChars="0"/>
        <w:jc w:val="center"/>
        <w:rPr>
          <w:rFonts w:ascii="黑体" w:hAnsi="黑体" w:eastAsia="黑体"/>
          <w:sz w:val="36"/>
          <w:szCs w:val="36"/>
        </w:rPr>
      </w:pPr>
    </w:p>
    <w:p w14:paraId="494F8E8F">
      <w:pPr>
        <w:ind w:firstLine="0" w:firstLineChars="0"/>
        <w:jc w:val="center"/>
        <w:rPr>
          <w:rFonts w:ascii="黑体" w:hAnsi="黑体" w:eastAsia="黑体"/>
          <w:sz w:val="36"/>
          <w:szCs w:val="36"/>
        </w:rPr>
      </w:pPr>
    </w:p>
    <w:p w14:paraId="5E07F11B">
      <w:pPr>
        <w:ind w:firstLine="0" w:firstLineChars="0"/>
        <w:jc w:val="center"/>
        <w:rPr>
          <w:rFonts w:ascii="黑体" w:hAnsi="黑体" w:eastAsia="黑体"/>
          <w:sz w:val="36"/>
          <w:szCs w:val="36"/>
        </w:rPr>
      </w:pPr>
    </w:p>
    <w:p w14:paraId="440AA49F">
      <w:pPr>
        <w:ind w:firstLine="0" w:firstLineChars="0"/>
        <w:jc w:val="center"/>
        <w:rPr>
          <w:rFonts w:ascii="黑体" w:hAnsi="黑体" w:eastAsia="黑体"/>
          <w:sz w:val="36"/>
          <w:szCs w:val="36"/>
        </w:rPr>
      </w:pPr>
    </w:p>
    <w:p w14:paraId="5B79B2EE">
      <w:pPr>
        <w:ind w:firstLine="0" w:firstLineChars="0"/>
        <w:jc w:val="center"/>
        <w:rPr>
          <w:rFonts w:ascii="黑体" w:hAnsi="黑体" w:eastAsia="黑体"/>
          <w:sz w:val="36"/>
          <w:szCs w:val="36"/>
        </w:rPr>
      </w:pPr>
    </w:p>
    <w:p w14:paraId="07289987">
      <w:pPr>
        <w:ind w:firstLine="0" w:firstLineChars="0"/>
        <w:jc w:val="center"/>
        <w:rPr>
          <w:rFonts w:ascii="黑体" w:hAnsi="黑体" w:eastAsia="黑体"/>
          <w:sz w:val="36"/>
          <w:szCs w:val="36"/>
        </w:rPr>
      </w:pPr>
    </w:p>
    <w:p w14:paraId="45330C2C">
      <w:pPr>
        <w:ind w:firstLine="0" w:firstLineChars="0"/>
        <w:jc w:val="center"/>
        <w:rPr>
          <w:rFonts w:ascii="黑体" w:hAnsi="黑体" w:eastAsia="黑体"/>
          <w:sz w:val="36"/>
          <w:szCs w:val="36"/>
        </w:rPr>
      </w:pPr>
    </w:p>
    <w:p w14:paraId="79A63FED">
      <w:pPr>
        <w:ind w:firstLine="0" w:firstLineChars="0"/>
        <w:jc w:val="center"/>
        <w:rPr>
          <w:rFonts w:ascii="黑体" w:hAnsi="黑体" w:eastAsia="黑体"/>
          <w:sz w:val="36"/>
          <w:szCs w:val="36"/>
        </w:rPr>
      </w:pPr>
    </w:p>
    <w:p w14:paraId="7596E798">
      <w:pPr>
        <w:ind w:firstLine="0" w:firstLineChars="0"/>
        <w:jc w:val="center"/>
        <w:rPr>
          <w:rFonts w:ascii="黑体" w:hAnsi="黑体" w:eastAsia="黑体"/>
          <w:sz w:val="36"/>
          <w:szCs w:val="36"/>
        </w:rPr>
      </w:pPr>
    </w:p>
    <w:p w14:paraId="7BA1E442">
      <w:pPr>
        <w:ind w:firstLine="0" w:firstLineChars="0"/>
        <w:jc w:val="center"/>
        <w:rPr>
          <w:rFonts w:ascii="黑体" w:hAnsi="黑体" w:eastAsia="黑体"/>
          <w:sz w:val="36"/>
          <w:szCs w:val="36"/>
        </w:rPr>
      </w:pPr>
    </w:p>
    <w:p w14:paraId="7DD5BF99">
      <w:pPr>
        <w:ind w:firstLine="0" w:firstLineChars="0"/>
        <w:jc w:val="center"/>
        <w:rPr>
          <w:rFonts w:ascii="黑体" w:hAnsi="黑体" w:eastAsia="黑体"/>
          <w:sz w:val="36"/>
          <w:szCs w:val="36"/>
        </w:rPr>
      </w:pPr>
    </w:p>
    <w:p w14:paraId="20D548B6">
      <w:pPr>
        <w:ind w:firstLine="0" w:firstLineChars="0"/>
        <w:jc w:val="center"/>
        <w:rPr>
          <w:rFonts w:ascii="黑体" w:hAnsi="黑体" w:eastAsia="黑体"/>
          <w:sz w:val="36"/>
          <w:szCs w:val="36"/>
        </w:rPr>
      </w:pPr>
    </w:p>
    <w:p w14:paraId="13BA72B9">
      <w:pPr>
        <w:ind w:firstLine="0" w:firstLineChars="0"/>
        <w:jc w:val="center"/>
        <w:rPr>
          <w:rFonts w:ascii="黑体" w:hAnsi="黑体" w:eastAsia="黑体"/>
          <w:sz w:val="36"/>
          <w:szCs w:val="36"/>
        </w:rPr>
      </w:pPr>
    </w:p>
    <w:p w14:paraId="4DC8C74B">
      <w:pPr>
        <w:ind w:firstLine="0" w:firstLineChars="0"/>
        <w:jc w:val="center"/>
        <w:rPr>
          <w:rFonts w:ascii="黑体" w:hAnsi="黑体" w:eastAsia="黑体"/>
          <w:sz w:val="30"/>
          <w:szCs w:val="30"/>
        </w:rPr>
      </w:pPr>
      <w:r>
        <w:rPr>
          <w:rFonts w:hint="eastAsia" w:ascii="黑体" w:hAnsi="黑体" w:eastAsia="黑体"/>
          <w:sz w:val="30"/>
          <w:szCs w:val="30"/>
          <w:lang w:val="en-US" w:eastAsia="zh-CN"/>
        </w:rPr>
        <w:t>*************</w:t>
      </w:r>
      <w:r>
        <w:rPr>
          <w:rFonts w:hint="eastAsia" w:ascii="黑体" w:hAnsi="黑体" w:eastAsia="黑体"/>
          <w:sz w:val="30"/>
          <w:szCs w:val="30"/>
        </w:rPr>
        <w:t>公司</w:t>
      </w:r>
    </w:p>
    <w:p w14:paraId="6A8567EF">
      <w:pPr>
        <w:ind w:firstLine="0" w:firstLineChars="0"/>
        <w:jc w:val="center"/>
        <w:rPr>
          <w:rFonts w:ascii="黑体" w:hAnsi="黑体" w:eastAsia="黑体"/>
          <w:sz w:val="30"/>
          <w:szCs w:val="30"/>
        </w:rPr>
        <w:sectPr>
          <w:footerReference r:id="rId9" w:type="first"/>
          <w:headerReference r:id="rId5" w:type="default"/>
          <w:footerReference r:id="rId7" w:type="default"/>
          <w:headerReference r:id="rId6" w:type="even"/>
          <w:footerReference r:id="rId8" w:type="even"/>
          <w:pgSz w:w="11906" w:h="16838"/>
          <w:pgMar w:top="1440" w:right="1588" w:bottom="1440" w:left="1588" w:header="851" w:footer="1247" w:gutter="0"/>
          <w:pgNumType w:start="1"/>
          <w:cols w:space="720" w:num="1"/>
          <w:titlePg/>
          <w:docGrid w:linePitch="381" w:charSpace="0"/>
        </w:sectPr>
      </w:pPr>
    </w:p>
    <w:p w14:paraId="41B1358E">
      <w:pPr>
        <w:ind w:firstLine="0" w:firstLineChars="0"/>
        <w:jc w:val="center"/>
        <w:rPr>
          <w:rFonts w:ascii="仿宋" w:hAnsi="仿宋"/>
          <w:b/>
          <w:bCs/>
          <w:sz w:val="30"/>
          <w:szCs w:val="30"/>
        </w:rPr>
      </w:pPr>
      <w:r>
        <w:rPr>
          <w:rFonts w:ascii="仿宋" w:hAnsi="仿宋"/>
          <w:b/>
          <w:bCs/>
          <w:sz w:val="30"/>
          <w:szCs w:val="30"/>
          <w:lang w:val="zh-CN"/>
        </w:rPr>
        <w:t>目录</w:t>
      </w:r>
    </w:p>
    <w:p w14:paraId="60C576B0">
      <w:pPr>
        <w:pStyle w:val="12"/>
        <w:tabs>
          <w:tab w:val="right" w:leader="dot" w:pos="8720"/>
        </w:tabs>
        <w:ind w:firstLine="560"/>
        <w:rPr>
          <w:rFonts w:hint="eastAsia" w:ascii="仿宋" w:hAnsi="仿宋" w:eastAsia="仿宋" w:cs="仿宋"/>
          <w:szCs w:val="28"/>
          <w14:ligatures w14:val="standardContextual"/>
        </w:rPr>
      </w:pPr>
      <w:r>
        <w:rPr>
          <w:rFonts w:ascii="仿宋" w:hAnsi="仿宋"/>
          <w:szCs w:val="28"/>
        </w:rPr>
        <w:fldChar w:fldCharType="begin"/>
      </w:r>
      <w:r>
        <w:rPr>
          <w:rFonts w:ascii="仿宋" w:hAnsi="仿宋"/>
          <w:szCs w:val="28"/>
        </w:rPr>
        <w:instrText xml:space="preserve"> TOC \o "1-3" \h \z \u </w:instrText>
      </w:r>
      <w:r>
        <w:rPr>
          <w:rFonts w:ascii="仿宋" w:hAnsi="仿宋"/>
          <w:szCs w:val="28"/>
        </w:rPr>
        <w:fldChar w:fldCharType="separate"/>
      </w:r>
      <w:r>
        <w:rPr>
          <w:rFonts w:hint="eastAsia" w:ascii="仿宋" w:hAnsi="仿宋" w:eastAsia="仿宋" w:cs="仿宋"/>
        </w:rPr>
        <w:fldChar w:fldCharType="begin"/>
      </w:r>
      <w:r>
        <w:rPr>
          <w:rFonts w:hint="eastAsia" w:ascii="仿宋" w:hAnsi="仿宋" w:eastAsia="仿宋" w:cs="仿宋"/>
        </w:rPr>
        <w:instrText xml:space="preserve"> HYPERLINK \l "_Toc146022575" </w:instrText>
      </w:r>
      <w:r>
        <w:rPr>
          <w:rFonts w:hint="eastAsia" w:ascii="仿宋" w:hAnsi="仿宋" w:eastAsia="仿宋" w:cs="仿宋"/>
        </w:rPr>
        <w:fldChar w:fldCharType="separate"/>
      </w:r>
      <w:r>
        <w:rPr>
          <w:rStyle w:val="18"/>
          <w:rFonts w:hint="eastAsia" w:ascii="仿宋" w:hAnsi="仿宋" w:eastAsia="仿宋" w:cs="仿宋"/>
          <w:sz w:val="28"/>
          <w:szCs w:val="28"/>
        </w:rPr>
        <w:t>一、实施背景</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_Toc146022575 \h </w:instrText>
      </w:r>
      <w:r>
        <w:rPr>
          <w:rFonts w:hint="eastAsia" w:ascii="仿宋" w:hAnsi="仿宋" w:eastAsia="仿宋" w:cs="仿宋"/>
          <w:szCs w:val="28"/>
        </w:rPr>
        <w:fldChar w:fldCharType="separate"/>
      </w:r>
      <w:r>
        <w:rPr>
          <w:rFonts w:hint="eastAsia" w:ascii="仿宋" w:hAnsi="仿宋" w:eastAsia="仿宋" w:cs="仿宋"/>
          <w:szCs w:val="28"/>
        </w:rPr>
        <w:t>2</w:t>
      </w:r>
      <w:r>
        <w:rPr>
          <w:rFonts w:hint="eastAsia" w:ascii="仿宋" w:hAnsi="仿宋" w:eastAsia="仿宋" w:cs="仿宋"/>
          <w:szCs w:val="28"/>
        </w:rPr>
        <w:fldChar w:fldCharType="end"/>
      </w:r>
      <w:r>
        <w:rPr>
          <w:rFonts w:hint="eastAsia" w:ascii="仿宋" w:hAnsi="仿宋" w:eastAsia="仿宋" w:cs="仿宋"/>
          <w:szCs w:val="28"/>
        </w:rPr>
        <w:fldChar w:fldCharType="end"/>
      </w:r>
    </w:p>
    <w:p w14:paraId="5C4B1EEA">
      <w:pPr>
        <w:pStyle w:val="13"/>
        <w:tabs>
          <w:tab w:val="right" w:leader="dot" w:pos="8720"/>
        </w:tabs>
        <w:ind w:left="56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"_Toc146022576" </w:instrText>
      </w:r>
      <w:r>
        <w:rPr>
          <w:rFonts w:hint="eastAsia" w:ascii="仿宋" w:hAnsi="仿宋" w:eastAsia="仿宋" w:cs="仿宋"/>
        </w:rPr>
        <w:fldChar w:fldCharType="separate"/>
      </w:r>
      <w:r>
        <w:rPr>
          <w:rStyle w:val="18"/>
          <w:rFonts w:hint="eastAsia" w:ascii="仿宋" w:hAnsi="仿宋" w:eastAsia="仿宋" w:cs="仿宋"/>
          <w:sz w:val="28"/>
          <w:szCs w:val="28"/>
        </w:rPr>
        <w:t>（一）能源保障和电力安全关系国计民生、千家万户</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_Toc146022576 \h </w:instrText>
      </w:r>
      <w:r>
        <w:rPr>
          <w:rFonts w:hint="eastAsia" w:ascii="仿宋" w:hAnsi="仿宋" w:eastAsia="仿宋" w:cs="仿宋"/>
          <w:szCs w:val="28"/>
        </w:rPr>
        <w:fldChar w:fldCharType="separate"/>
      </w:r>
      <w:r>
        <w:rPr>
          <w:rFonts w:hint="eastAsia" w:ascii="仿宋" w:hAnsi="仿宋" w:eastAsia="仿宋" w:cs="仿宋"/>
          <w:szCs w:val="28"/>
        </w:rPr>
        <w:t>2</w:t>
      </w:r>
      <w:r>
        <w:rPr>
          <w:rFonts w:hint="eastAsia" w:ascii="仿宋" w:hAnsi="仿宋" w:eastAsia="仿宋" w:cs="仿宋"/>
          <w:szCs w:val="28"/>
        </w:rPr>
        <w:fldChar w:fldCharType="end"/>
      </w:r>
      <w:r>
        <w:rPr>
          <w:rFonts w:hint="eastAsia" w:ascii="仿宋" w:hAnsi="仿宋" w:eastAsia="仿宋" w:cs="仿宋"/>
          <w:szCs w:val="28"/>
        </w:rPr>
        <w:fldChar w:fldCharType="end"/>
      </w:r>
    </w:p>
    <w:p w14:paraId="3CC1F653">
      <w:pPr>
        <w:pStyle w:val="13"/>
        <w:tabs>
          <w:tab w:val="right" w:leader="dot" w:pos="8720"/>
        </w:tabs>
        <w:ind w:left="56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"_Toc146022577" </w:instrText>
      </w:r>
      <w:r>
        <w:rPr>
          <w:rFonts w:hint="eastAsia" w:ascii="仿宋" w:hAnsi="仿宋" w:eastAsia="仿宋" w:cs="仿宋"/>
        </w:rPr>
        <w:fldChar w:fldCharType="separate"/>
      </w:r>
      <w:r>
        <w:rPr>
          <w:rStyle w:val="18"/>
          <w:rFonts w:hint="eastAsia" w:ascii="仿宋" w:hAnsi="仿宋" w:eastAsia="仿宋" w:cs="仿宋"/>
          <w:sz w:val="28"/>
          <w:szCs w:val="28"/>
        </w:rPr>
        <w:t>（二）韧性城市建设要求加快韧性电网企业建设</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_Toc146022577 \h </w:instrText>
      </w:r>
      <w:r>
        <w:rPr>
          <w:rFonts w:hint="eastAsia" w:ascii="仿宋" w:hAnsi="仿宋" w:eastAsia="仿宋" w:cs="仿宋"/>
          <w:szCs w:val="28"/>
        </w:rPr>
        <w:fldChar w:fldCharType="separate"/>
      </w:r>
      <w:r>
        <w:rPr>
          <w:rFonts w:hint="eastAsia" w:ascii="仿宋" w:hAnsi="仿宋" w:eastAsia="仿宋" w:cs="仿宋"/>
          <w:szCs w:val="28"/>
        </w:rPr>
        <w:t>2</w:t>
      </w:r>
      <w:r>
        <w:rPr>
          <w:rFonts w:hint="eastAsia" w:ascii="仿宋" w:hAnsi="仿宋" w:eastAsia="仿宋" w:cs="仿宋"/>
          <w:szCs w:val="28"/>
        </w:rPr>
        <w:fldChar w:fldCharType="end"/>
      </w:r>
      <w:r>
        <w:rPr>
          <w:rFonts w:hint="eastAsia" w:ascii="仿宋" w:hAnsi="仿宋" w:eastAsia="仿宋" w:cs="仿宋"/>
          <w:szCs w:val="28"/>
        </w:rPr>
        <w:fldChar w:fldCharType="end"/>
      </w:r>
    </w:p>
    <w:p w14:paraId="1161DF13">
      <w:pPr>
        <w:pStyle w:val="13"/>
        <w:tabs>
          <w:tab w:val="right" w:leader="dot" w:pos="8720"/>
        </w:tabs>
        <w:ind w:left="56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"_Toc146022578" </w:instrText>
      </w:r>
      <w:r>
        <w:rPr>
          <w:rFonts w:hint="eastAsia" w:ascii="仿宋" w:hAnsi="仿宋" w:eastAsia="仿宋" w:cs="仿宋"/>
        </w:rPr>
        <w:fldChar w:fldCharType="separate"/>
      </w:r>
      <w:r>
        <w:rPr>
          <w:rStyle w:val="18"/>
          <w:rFonts w:hint="eastAsia" w:ascii="仿宋" w:hAnsi="仿宋" w:eastAsia="仿宋" w:cs="仿宋"/>
          <w:sz w:val="28"/>
          <w:szCs w:val="28"/>
        </w:rPr>
        <w:t>（三）应对复杂安全形势需要持续提高电网企业韧性</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_Toc146022578 \h </w:instrText>
      </w:r>
      <w:r>
        <w:rPr>
          <w:rFonts w:hint="eastAsia" w:ascii="仿宋" w:hAnsi="仿宋" w:eastAsia="仿宋" w:cs="仿宋"/>
          <w:szCs w:val="28"/>
        </w:rPr>
        <w:fldChar w:fldCharType="separate"/>
      </w:r>
      <w:r>
        <w:rPr>
          <w:rFonts w:hint="eastAsia" w:ascii="仿宋" w:hAnsi="仿宋" w:eastAsia="仿宋" w:cs="仿宋"/>
          <w:szCs w:val="28"/>
        </w:rPr>
        <w:t>3</w:t>
      </w:r>
      <w:r>
        <w:rPr>
          <w:rFonts w:hint="eastAsia" w:ascii="仿宋" w:hAnsi="仿宋" w:eastAsia="仿宋" w:cs="仿宋"/>
          <w:szCs w:val="28"/>
        </w:rPr>
        <w:fldChar w:fldCharType="end"/>
      </w:r>
      <w:r>
        <w:rPr>
          <w:rFonts w:hint="eastAsia" w:ascii="仿宋" w:hAnsi="仿宋" w:eastAsia="仿宋" w:cs="仿宋"/>
          <w:szCs w:val="28"/>
        </w:rPr>
        <w:fldChar w:fldCharType="end"/>
      </w:r>
    </w:p>
    <w:p w14:paraId="1D723C32">
      <w:pPr>
        <w:pStyle w:val="12"/>
        <w:tabs>
          <w:tab w:val="right" w:leader="dot" w:pos="8720"/>
        </w:tabs>
        <w:ind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"_Toc146022579" </w:instrText>
      </w:r>
      <w:r>
        <w:rPr>
          <w:rFonts w:hint="eastAsia" w:ascii="仿宋" w:hAnsi="仿宋" w:eastAsia="仿宋" w:cs="仿宋"/>
        </w:rPr>
        <w:fldChar w:fldCharType="separate"/>
      </w:r>
      <w:r>
        <w:rPr>
          <w:rStyle w:val="18"/>
          <w:rFonts w:hint="eastAsia" w:ascii="仿宋" w:hAnsi="仿宋" w:eastAsia="仿宋" w:cs="仿宋"/>
          <w:sz w:val="28"/>
          <w:szCs w:val="28"/>
        </w:rPr>
        <w:t>二、主要做法</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_Toc146022579 \h </w:instrText>
      </w:r>
      <w:r>
        <w:rPr>
          <w:rFonts w:hint="eastAsia" w:ascii="仿宋" w:hAnsi="仿宋" w:eastAsia="仿宋" w:cs="仿宋"/>
          <w:szCs w:val="28"/>
        </w:rPr>
        <w:fldChar w:fldCharType="separate"/>
      </w:r>
      <w:r>
        <w:rPr>
          <w:rFonts w:hint="eastAsia" w:ascii="仿宋" w:hAnsi="仿宋" w:eastAsia="仿宋" w:cs="仿宋"/>
          <w:szCs w:val="28"/>
        </w:rPr>
        <w:t>3</w:t>
      </w:r>
      <w:r>
        <w:rPr>
          <w:rFonts w:hint="eastAsia" w:ascii="仿宋" w:hAnsi="仿宋" w:eastAsia="仿宋" w:cs="仿宋"/>
          <w:szCs w:val="28"/>
        </w:rPr>
        <w:fldChar w:fldCharType="end"/>
      </w:r>
      <w:r>
        <w:rPr>
          <w:rFonts w:hint="eastAsia" w:ascii="仿宋" w:hAnsi="仿宋" w:eastAsia="仿宋" w:cs="仿宋"/>
          <w:szCs w:val="28"/>
        </w:rPr>
        <w:fldChar w:fldCharType="end"/>
      </w:r>
    </w:p>
    <w:p w14:paraId="28DB398D">
      <w:pPr>
        <w:pStyle w:val="13"/>
        <w:tabs>
          <w:tab w:val="right" w:leader="dot" w:pos="8720"/>
        </w:tabs>
        <w:ind w:left="56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"_Toc146022580" </w:instrText>
      </w:r>
      <w:r>
        <w:rPr>
          <w:rFonts w:hint="eastAsia" w:ascii="仿宋" w:hAnsi="仿宋" w:eastAsia="仿宋" w:cs="仿宋"/>
        </w:rPr>
        <w:fldChar w:fldCharType="separate"/>
      </w:r>
      <w:r>
        <w:rPr>
          <w:rStyle w:val="18"/>
          <w:rFonts w:hint="eastAsia" w:ascii="仿宋" w:hAnsi="仿宋" w:eastAsia="仿宋" w:cs="仿宋"/>
          <w:sz w:val="28"/>
          <w:szCs w:val="28"/>
        </w:rPr>
        <w:t>（一）融合韧性理念，构建韧性电网企业体系</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_Toc146022580 \h </w:instrText>
      </w:r>
      <w:r>
        <w:rPr>
          <w:rFonts w:hint="eastAsia" w:ascii="仿宋" w:hAnsi="仿宋" w:eastAsia="仿宋" w:cs="仿宋"/>
          <w:szCs w:val="28"/>
        </w:rPr>
        <w:fldChar w:fldCharType="separate"/>
      </w:r>
      <w:r>
        <w:rPr>
          <w:rFonts w:hint="eastAsia" w:ascii="仿宋" w:hAnsi="仿宋" w:eastAsia="仿宋" w:cs="仿宋"/>
          <w:szCs w:val="28"/>
        </w:rPr>
        <w:t>3</w:t>
      </w:r>
      <w:r>
        <w:rPr>
          <w:rFonts w:hint="eastAsia" w:ascii="仿宋" w:hAnsi="仿宋" w:eastAsia="仿宋" w:cs="仿宋"/>
          <w:szCs w:val="28"/>
        </w:rPr>
        <w:fldChar w:fldCharType="end"/>
      </w:r>
      <w:r>
        <w:rPr>
          <w:rFonts w:hint="eastAsia" w:ascii="仿宋" w:hAnsi="仿宋" w:eastAsia="仿宋" w:cs="仿宋"/>
          <w:szCs w:val="28"/>
        </w:rPr>
        <w:fldChar w:fldCharType="end"/>
      </w:r>
    </w:p>
    <w:p w14:paraId="56471C5B">
      <w:pPr>
        <w:pStyle w:val="7"/>
        <w:tabs>
          <w:tab w:val="right" w:leader="dot" w:pos="8720"/>
        </w:tabs>
        <w:ind w:left="112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"_Toc146022581" </w:instrText>
      </w:r>
      <w:r>
        <w:rPr>
          <w:rFonts w:hint="eastAsia" w:ascii="仿宋" w:hAnsi="仿宋" w:eastAsia="仿宋" w:cs="仿宋"/>
        </w:rPr>
        <w:fldChar w:fldCharType="separate"/>
      </w:r>
      <w:r>
        <w:rPr>
          <w:rStyle w:val="18"/>
          <w:rFonts w:hint="eastAsia" w:ascii="仿宋" w:hAnsi="仿宋" w:eastAsia="仿宋" w:cs="仿宋"/>
          <w:sz w:val="28"/>
          <w:szCs w:val="28"/>
        </w:rPr>
        <w:t>1、提出并诠释了韧性电网企业概念内涵</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_Toc146022581 \h </w:instrText>
      </w:r>
      <w:r>
        <w:rPr>
          <w:rFonts w:hint="eastAsia" w:ascii="仿宋" w:hAnsi="仿宋" w:eastAsia="仿宋" w:cs="仿宋"/>
          <w:szCs w:val="28"/>
        </w:rPr>
        <w:fldChar w:fldCharType="separate"/>
      </w:r>
      <w:r>
        <w:rPr>
          <w:rFonts w:hint="eastAsia" w:ascii="仿宋" w:hAnsi="仿宋" w:eastAsia="仿宋" w:cs="仿宋"/>
          <w:szCs w:val="28"/>
        </w:rPr>
        <w:t>3</w:t>
      </w:r>
      <w:r>
        <w:rPr>
          <w:rFonts w:hint="eastAsia" w:ascii="仿宋" w:hAnsi="仿宋" w:eastAsia="仿宋" w:cs="仿宋"/>
          <w:szCs w:val="28"/>
        </w:rPr>
        <w:fldChar w:fldCharType="end"/>
      </w:r>
      <w:r>
        <w:rPr>
          <w:rFonts w:hint="eastAsia" w:ascii="仿宋" w:hAnsi="仿宋" w:eastAsia="仿宋" w:cs="仿宋"/>
          <w:szCs w:val="28"/>
        </w:rPr>
        <w:fldChar w:fldCharType="end"/>
      </w:r>
    </w:p>
    <w:p w14:paraId="11904DD2">
      <w:pPr>
        <w:pStyle w:val="7"/>
        <w:tabs>
          <w:tab w:val="right" w:leader="dot" w:pos="8720"/>
        </w:tabs>
        <w:ind w:left="112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"_Toc146022582" </w:instrText>
      </w:r>
      <w:r>
        <w:rPr>
          <w:rFonts w:hint="eastAsia" w:ascii="仿宋" w:hAnsi="仿宋" w:eastAsia="仿宋" w:cs="仿宋"/>
        </w:rPr>
        <w:fldChar w:fldCharType="separate"/>
      </w:r>
      <w:r>
        <w:rPr>
          <w:rStyle w:val="18"/>
          <w:rFonts w:hint="eastAsia" w:ascii="仿宋" w:hAnsi="仿宋" w:eastAsia="仿宋" w:cs="仿宋"/>
          <w:sz w:val="28"/>
          <w:szCs w:val="28"/>
        </w:rPr>
        <w:t>2、构建了韧性电网企业建设的体系框架</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_Toc146022582 \h </w:instrText>
      </w:r>
      <w:r>
        <w:rPr>
          <w:rFonts w:hint="eastAsia" w:ascii="仿宋" w:hAnsi="仿宋" w:eastAsia="仿宋" w:cs="仿宋"/>
          <w:szCs w:val="28"/>
        </w:rPr>
        <w:fldChar w:fldCharType="separate"/>
      </w:r>
      <w:r>
        <w:rPr>
          <w:rFonts w:hint="eastAsia" w:ascii="仿宋" w:hAnsi="仿宋" w:eastAsia="仿宋" w:cs="仿宋"/>
          <w:szCs w:val="28"/>
        </w:rPr>
        <w:t>4</w:t>
      </w:r>
      <w:r>
        <w:rPr>
          <w:rFonts w:hint="eastAsia" w:ascii="仿宋" w:hAnsi="仿宋" w:eastAsia="仿宋" w:cs="仿宋"/>
          <w:szCs w:val="28"/>
        </w:rPr>
        <w:fldChar w:fldCharType="end"/>
      </w:r>
      <w:r>
        <w:rPr>
          <w:rFonts w:hint="eastAsia" w:ascii="仿宋" w:hAnsi="仿宋" w:eastAsia="仿宋" w:cs="仿宋"/>
          <w:szCs w:val="28"/>
        </w:rPr>
        <w:fldChar w:fldCharType="end"/>
      </w:r>
    </w:p>
    <w:p w14:paraId="5294C959">
      <w:pPr>
        <w:pStyle w:val="13"/>
        <w:tabs>
          <w:tab w:val="right" w:leader="dot" w:pos="8720"/>
        </w:tabs>
        <w:ind w:left="56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"_Toc146022583" </w:instrText>
      </w:r>
      <w:r>
        <w:rPr>
          <w:rFonts w:hint="eastAsia" w:ascii="仿宋" w:hAnsi="仿宋" w:eastAsia="仿宋" w:cs="仿宋"/>
        </w:rPr>
        <w:fldChar w:fldCharType="separate"/>
      </w:r>
      <w:r>
        <w:rPr>
          <w:rStyle w:val="18"/>
          <w:rFonts w:hint="eastAsia" w:ascii="仿宋" w:hAnsi="仿宋" w:eastAsia="仿宋" w:cs="仿宋"/>
          <w:sz w:val="28"/>
          <w:szCs w:val="28"/>
        </w:rPr>
        <w:t>（二）增强电网韧性，筑牢城市运行“生命线”</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_Toc146022583 \h </w:instrText>
      </w:r>
      <w:r>
        <w:rPr>
          <w:rFonts w:hint="eastAsia" w:ascii="仿宋" w:hAnsi="仿宋" w:eastAsia="仿宋" w:cs="仿宋"/>
          <w:szCs w:val="28"/>
        </w:rPr>
        <w:fldChar w:fldCharType="separate"/>
      </w:r>
      <w:r>
        <w:rPr>
          <w:rFonts w:hint="eastAsia" w:ascii="仿宋" w:hAnsi="仿宋" w:eastAsia="仿宋" w:cs="仿宋"/>
          <w:szCs w:val="28"/>
        </w:rPr>
        <w:t>5</w:t>
      </w:r>
      <w:r>
        <w:rPr>
          <w:rFonts w:hint="eastAsia" w:ascii="仿宋" w:hAnsi="仿宋" w:eastAsia="仿宋" w:cs="仿宋"/>
          <w:szCs w:val="28"/>
        </w:rPr>
        <w:fldChar w:fldCharType="end"/>
      </w:r>
      <w:r>
        <w:rPr>
          <w:rFonts w:hint="eastAsia" w:ascii="仿宋" w:hAnsi="仿宋" w:eastAsia="仿宋" w:cs="仿宋"/>
          <w:szCs w:val="28"/>
        </w:rPr>
        <w:fldChar w:fldCharType="end"/>
      </w:r>
    </w:p>
    <w:p w14:paraId="51EC5C51">
      <w:pPr>
        <w:pStyle w:val="7"/>
        <w:tabs>
          <w:tab w:val="right" w:leader="dot" w:pos="8720"/>
        </w:tabs>
        <w:ind w:left="112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"_Toc146022584" </w:instrText>
      </w:r>
      <w:r>
        <w:rPr>
          <w:rFonts w:hint="eastAsia" w:ascii="仿宋" w:hAnsi="仿宋" w:eastAsia="仿宋" w:cs="仿宋"/>
        </w:rPr>
        <w:fldChar w:fldCharType="separate"/>
      </w:r>
      <w:r>
        <w:rPr>
          <w:rStyle w:val="18"/>
          <w:rFonts w:hint="eastAsia" w:ascii="仿宋" w:hAnsi="仿宋" w:eastAsia="仿宋" w:cs="仿宋"/>
          <w:sz w:val="28"/>
          <w:szCs w:val="28"/>
        </w:rPr>
        <w:t>1、统筹规划布局，推动韧性电网建设</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_Toc146022584 \h </w:instrText>
      </w:r>
      <w:r>
        <w:rPr>
          <w:rFonts w:hint="eastAsia" w:ascii="仿宋" w:hAnsi="仿宋" w:eastAsia="仿宋" w:cs="仿宋"/>
          <w:szCs w:val="28"/>
        </w:rPr>
        <w:fldChar w:fldCharType="separate"/>
      </w:r>
      <w:r>
        <w:rPr>
          <w:rFonts w:hint="eastAsia" w:ascii="仿宋" w:hAnsi="仿宋" w:eastAsia="仿宋" w:cs="仿宋"/>
          <w:szCs w:val="28"/>
        </w:rPr>
        <w:t>5</w:t>
      </w:r>
      <w:r>
        <w:rPr>
          <w:rFonts w:hint="eastAsia" w:ascii="仿宋" w:hAnsi="仿宋" w:eastAsia="仿宋" w:cs="仿宋"/>
          <w:szCs w:val="28"/>
        </w:rPr>
        <w:fldChar w:fldCharType="end"/>
      </w:r>
      <w:r>
        <w:rPr>
          <w:rFonts w:hint="eastAsia" w:ascii="仿宋" w:hAnsi="仿宋" w:eastAsia="仿宋" w:cs="仿宋"/>
          <w:szCs w:val="28"/>
        </w:rPr>
        <w:fldChar w:fldCharType="end"/>
      </w:r>
    </w:p>
    <w:p w14:paraId="6CF0089F">
      <w:pPr>
        <w:pStyle w:val="7"/>
        <w:tabs>
          <w:tab w:val="right" w:leader="dot" w:pos="8720"/>
        </w:tabs>
        <w:ind w:left="112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"_Toc146022585" </w:instrText>
      </w:r>
      <w:r>
        <w:rPr>
          <w:rFonts w:hint="eastAsia" w:ascii="仿宋" w:hAnsi="仿宋" w:eastAsia="仿宋" w:cs="仿宋"/>
        </w:rPr>
        <w:fldChar w:fldCharType="separate"/>
      </w:r>
      <w:r>
        <w:rPr>
          <w:rStyle w:val="18"/>
          <w:rFonts w:hint="eastAsia" w:ascii="仿宋" w:hAnsi="仿宋" w:eastAsia="仿宋" w:cs="仿宋"/>
          <w:sz w:val="28"/>
          <w:szCs w:val="28"/>
        </w:rPr>
        <w:t>2、技术集群攻关，引领电网韧性突破</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_Toc146022585 \h </w:instrText>
      </w:r>
      <w:r>
        <w:rPr>
          <w:rFonts w:hint="eastAsia" w:ascii="仿宋" w:hAnsi="仿宋" w:eastAsia="仿宋" w:cs="仿宋"/>
          <w:szCs w:val="28"/>
        </w:rPr>
        <w:fldChar w:fldCharType="separate"/>
      </w:r>
      <w:r>
        <w:rPr>
          <w:rFonts w:hint="eastAsia" w:ascii="仿宋" w:hAnsi="仿宋" w:eastAsia="仿宋" w:cs="仿宋"/>
          <w:szCs w:val="28"/>
        </w:rPr>
        <w:t>6</w:t>
      </w:r>
      <w:r>
        <w:rPr>
          <w:rFonts w:hint="eastAsia" w:ascii="仿宋" w:hAnsi="仿宋" w:eastAsia="仿宋" w:cs="仿宋"/>
          <w:szCs w:val="28"/>
        </w:rPr>
        <w:fldChar w:fldCharType="end"/>
      </w:r>
      <w:r>
        <w:rPr>
          <w:rFonts w:hint="eastAsia" w:ascii="仿宋" w:hAnsi="仿宋" w:eastAsia="仿宋" w:cs="仿宋"/>
          <w:szCs w:val="28"/>
        </w:rPr>
        <w:fldChar w:fldCharType="end"/>
      </w:r>
    </w:p>
    <w:p w14:paraId="29B929D7">
      <w:pPr>
        <w:pStyle w:val="7"/>
        <w:tabs>
          <w:tab w:val="right" w:leader="dot" w:pos="8720"/>
        </w:tabs>
        <w:ind w:left="112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"_Toc146022586" </w:instrText>
      </w:r>
      <w:r>
        <w:rPr>
          <w:rFonts w:hint="eastAsia" w:ascii="仿宋" w:hAnsi="仿宋" w:eastAsia="仿宋" w:cs="仿宋"/>
        </w:rPr>
        <w:fldChar w:fldCharType="separate"/>
      </w:r>
      <w:r>
        <w:rPr>
          <w:rStyle w:val="18"/>
          <w:rFonts w:hint="eastAsia" w:ascii="仿宋" w:hAnsi="仿宋" w:eastAsia="仿宋" w:cs="仿宋"/>
          <w:sz w:val="28"/>
          <w:szCs w:val="28"/>
        </w:rPr>
        <w:t>3、围绕坚强可靠，建设“打不垮”主干网</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_Toc146022586 \h </w:instrText>
      </w:r>
      <w:r>
        <w:rPr>
          <w:rFonts w:hint="eastAsia" w:ascii="仿宋" w:hAnsi="仿宋" w:eastAsia="仿宋" w:cs="仿宋"/>
          <w:szCs w:val="28"/>
        </w:rPr>
        <w:fldChar w:fldCharType="separate"/>
      </w:r>
      <w:r>
        <w:rPr>
          <w:rFonts w:hint="eastAsia" w:ascii="仿宋" w:hAnsi="仿宋" w:eastAsia="仿宋" w:cs="仿宋"/>
          <w:szCs w:val="28"/>
        </w:rPr>
        <w:t>6</w:t>
      </w:r>
      <w:r>
        <w:rPr>
          <w:rFonts w:hint="eastAsia" w:ascii="仿宋" w:hAnsi="仿宋" w:eastAsia="仿宋" w:cs="仿宋"/>
          <w:szCs w:val="28"/>
        </w:rPr>
        <w:fldChar w:fldCharType="end"/>
      </w:r>
      <w:r>
        <w:rPr>
          <w:rFonts w:hint="eastAsia" w:ascii="仿宋" w:hAnsi="仿宋" w:eastAsia="仿宋" w:cs="仿宋"/>
          <w:szCs w:val="28"/>
        </w:rPr>
        <w:fldChar w:fldCharType="end"/>
      </w:r>
    </w:p>
    <w:p w14:paraId="5766EAE7">
      <w:pPr>
        <w:pStyle w:val="7"/>
        <w:tabs>
          <w:tab w:val="right" w:leader="dot" w:pos="8720"/>
        </w:tabs>
        <w:ind w:left="112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"_Toc146022587" </w:instrText>
      </w:r>
      <w:r>
        <w:rPr>
          <w:rFonts w:hint="eastAsia" w:ascii="仿宋" w:hAnsi="仿宋" w:eastAsia="仿宋" w:cs="仿宋"/>
        </w:rPr>
        <w:fldChar w:fldCharType="separate"/>
      </w:r>
      <w:r>
        <w:rPr>
          <w:rStyle w:val="18"/>
          <w:rFonts w:hint="eastAsia" w:ascii="仿宋" w:hAnsi="仿宋" w:eastAsia="仿宋" w:cs="仿宋"/>
          <w:sz w:val="28"/>
          <w:szCs w:val="28"/>
        </w:rPr>
        <w:t>4、聚焦灵活互动，打造“不停电”配电网</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_Toc146022587 \h </w:instrText>
      </w:r>
      <w:r>
        <w:rPr>
          <w:rFonts w:hint="eastAsia" w:ascii="仿宋" w:hAnsi="仿宋" w:eastAsia="仿宋" w:cs="仿宋"/>
          <w:szCs w:val="28"/>
        </w:rPr>
        <w:fldChar w:fldCharType="separate"/>
      </w:r>
      <w:r>
        <w:rPr>
          <w:rFonts w:hint="eastAsia" w:ascii="仿宋" w:hAnsi="仿宋" w:eastAsia="仿宋" w:cs="仿宋"/>
          <w:szCs w:val="28"/>
        </w:rPr>
        <w:t>7</w:t>
      </w:r>
      <w:r>
        <w:rPr>
          <w:rFonts w:hint="eastAsia" w:ascii="仿宋" w:hAnsi="仿宋" w:eastAsia="仿宋" w:cs="仿宋"/>
          <w:szCs w:val="28"/>
        </w:rPr>
        <w:fldChar w:fldCharType="end"/>
      </w:r>
      <w:r>
        <w:rPr>
          <w:rFonts w:hint="eastAsia" w:ascii="仿宋" w:hAnsi="仿宋" w:eastAsia="仿宋" w:cs="仿宋"/>
          <w:szCs w:val="28"/>
        </w:rPr>
        <w:fldChar w:fldCharType="end"/>
      </w:r>
    </w:p>
    <w:p w14:paraId="586F5696">
      <w:pPr>
        <w:pStyle w:val="13"/>
        <w:tabs>
          <w:tab w:val="right" w:leader="dot" w:pos="8720"/>
        </w:tabs>
        <w:ind w:left="56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"_Toc146022588" </w:instrText>
      </w:r>
      <w:r>
        <w:rPr>
          <w:rFonts w:hint="eastAsia" w:ascii="仿宋" w:hAnsi="仿宋" w:eastAsia="仿宋" w:cs="仿宋"/>
        </w:rPr>
        <w:fldChar w:fldCharType="separate"/>
      </w:r>
      <w:r>
        <w:rPr>
          <w:rStyle w:val="18"/>
          <w:rFonts w:hint="eastAsia" w:ascii="仿宋" w:hAnsi="仿宋" w:eastAsia="仿宋" w:cs="仿宋"/>
          <w:sz w:val="28"/>
          <w:szCs w:val="28"/>
        </w:rPr>
        <w:t>（三）提升经营韧性，推动企业稳健卓越发展</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_Toc146022588 \h </w:instrText>
      </w:r>
      <w:r>
        <w:rPr>
          <w:rFonts w:hint="eastAsia" w:ascii="仿宋" w:hAnsi="仿宋" w:eastAsia="仿宋" w:cs="仿宋"/>
          <w:szCs w:val="28"/>
        </w:rPr>
        <w:fldChar w:fldCharType="separate"/>
      </w:r>
      <w:r>
        <w:rPr>
          <w:rFonts w:hint="eastAsia" w:ascii="仿宋" w:hAnsi="仿宋" w:eastAsia="仿宋" w:cs="仿宋"/>
          <w:szCs w:val="28"/>
        </w:rPr>
        <w:t>7</w:t>
      </w:r>
      <w:r>
        <w:rPr>
          <w:rFonts w:hint="eastAsia" w:ascii="仿宋" w:hAnsi="仿宋" w:eastAsia="仿宋" w:cs="仿宋"/>
          <w:szCs w:val="28"/>
        </w:rPr>
        <w:fldChar w:fldCharType="end"/>
      </w:r>
      <w:r>
        <w:rPr>
          <w:rFonts w:hint="eastAsia" w:ascii="仿宋" w:hAnsi="仿宋" w:eastAsia="仿宋" w:cs="仿宋"/>
          <w:szCs w:val="28"/>
        </w:rPr>
        <w:fldChar w:fldCharType="end"/>
      </w:r>
    </w:p>
    <w:p w14:paraId="4072FC6A">
      <w:pPr>
        <w:pStyle w:val="7"/>
        <w:tabs>
          <w:tab w:val="right" w:leader="dot" w:pos="8720"/>
        </w:tabs>
        <w:ind w:left="112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"_Toc146022589" </w:instrText>
      </w:r>
      <w:r>
        <w:rPr>
          <w:rFonts w:hint="eastAsia" w:ascii="仿宋" w:hAnsi="仿宋" w:eastAsia="仿宋" w:cs="仿宋"/>
        </w:rPr>
        <w:fldChar w:fldCharType="separate"/>
      </w:r>
      <w:r>
        <w:rPr>
          <w:rStyle w:val="18"/>
          <w:rFonts w:hint="eastAsia" w:ascii="仿宋" w:hAnsi="仿宋" w:eastAsia="仿宋" w:cs="仿宋"/>
          <w:sz w:val="28"/>
          <w:szCs w:val="28"/>
        </w:rPr>
        <w:t>1、强化稳健卓越的领导，提高系统风险应对能力</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_Toc146022589 \h </w:instrText>
      </w:r>
      <w:r>
        <w:rPr>
          <w:rFonts w:hint="eastAsia" w:ascii="仿宋" w:hAnsi="仿宋" w:eastAsia="仿宋" w:cs="仿宋"/>
          <w:szCs w:val="28"/>
        </w:rPr>
        <w:fldChar w:fldCharType="separate"/>
      </w:r>
      <w:r>
        <w:rPr>
          <w:rFonts w:hint="eastAsia" w:ascii="仿宋" w:hAnsi="仿宋" w:eastAsia="仿宋" w:cs="仿宋"/>
          <w:szCs w:val="28"/>
        </w:rPr>
        <w:t>7</w:t>
      </w:r>
      <w:r>
        <w:rPr>
          <w:rFonts w:hint="eastAsia" w:ascii="仿宋" w:hAnsi="仿宋" w:eastAsia="仿宋" w:cs="仿宋"/>
          <w:szCs w:val="28"/>
        </w:rPr>
        <w:fldChar w:fldCharType="end"/>
      </w:r>
      <w:r>
        <w:rPr>
          <w:rFonts w:hint="eastAsia" w:ascii="仿宋" w:hAnsi="仿宋" w:eastAsia="仿宋" w:cs="仿宋"/>
          <w:szCs w:val="28"/>
        </w:rPr>
        <w:fldChar w:fldCharType="end"/>
      </w:r>
    </w:p>
    <w:p w14:paraId="19387B24">
      <w:pPr>
        <w:pStyle w:val="7"/>
        <w:tabs>
          <w:tab w:val="right" w:leader="dot" w:pos="8720"/>
        </w:tabs>
        <w:ind w:left="112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"_Toc146022590" </w:instrText>
      </w:r>
      <w:r>
        <w:rPr>
          <w:rFonts w:hint="eastAsia" w:ascii="仿宋" w:hAnsi="仿宋" w:eastAsia="仿宋" w:cs="仿宋"/>
        </w:rPr>
        <w:fldChar w:fldCharType="separate"/>
      </w:r>
      <w:r>
        <w:rPr>
          <w:rStyle w:val="18"/>
          <w:rFonts w:hint="eastAsia" w:ascii="仿宋" w:hAnsi="仿宋" w:eastAsia="仿宋" w:cs="仿宋"/>
          <w:sz w:val="28"/>
          <w:szCs w:val="28"/>
        </w:rPr>
        <w:t>2、建立因势而变的组织，增强企业灵活应变能力</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_Toc146022590 \h </w:instrText>
      </w:r>
      <w:r>
        <w:rPr>
          <w:rFonts w:hint="eastAsia" w:ascii="仿宋" w:hAnsi="仿宋" w:eastAsia="仿宋" w:cs="仿宋"/>
          <w:szCs w:val="28"/>
        </w:rPr>
        <w:fldChar w:fldCharType="separate"/>
      </w:r>
      <w:r>
        <w:rPr>
          <w:rFonts w:hint="eastAsia" w:ascii="仿宋" w:hAnsi="仿宋" w:eastAsia="仿宋" w:cs="仿宋"/>
          <w:szCs w:val="28"/>
        </w:rPr>
        <w:t>8</w:t>
      </w:r>
      <w:r>
        <w:rPr>
          <w:rFonts w:hint="eastAsia" w:ascii="仿宋" w:hAnsi="仿宋" w:eastAsia="仿宋" w:cs="仿宋"/>
          <w:szCs w:val="28"/>
        </w:rPr>
        <w:fldChar w:fldCharType="end"/>
      </w:r>
      <w:r>
        <w:rPr>
          <w:rFonts w:hint="eastAsia" w:ascii="仿宋" w:hAnsi="仿宋" w:eastAsia="仿宋" w:cs="仿宋"/>
          <w:szCs w:val="28"/>
        </w:rPr>
        <w:fldChar w:fldCharType="end"/>
      </w:r>
    </w:p>
    <w:p w14:paraId="01146352">
      <w:pPr>
        <w:pStyle w:val="7"/>
        <w:tabs>
          <w:tab w:val="right" w:leader="dot" w:pos="8720"/>
        </w:tabs>
        <w:ind w:left="112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"_Toc146022591" </w:instrText>
      </w:r>
      <w:r>
        <w:rPr>
          <w:rFonts w:hint="eastAsia" w:ascii="仿宋" w:hAnsi="仿宋" w:eastAsia="仿宋" w:cs="仿宋"/>
        </w:rPr>
        <w:fldChar w:fldCharType="separate"/>
      </w:r>
      <w:r>
        <w:rPr>
          <w:rStyle w:val="18"/>
          <w:rFonts w:hint="eastAsia" w:ascii="仿宋" w:hAnsi="仿宋" w:eastAsia="仿宋" w:cs="仿宋"/>
          <w:sz w:val="28"/>
          <w:szCs w:val="28"/>
        </w:rPr>
        <w:t>3、培养柔韧勇毅的文化，提升企业应对危机能力</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_Toc146022591 \h </w:instrText>
      </w:r>
      <w:r>
        <w:rPr>
          <w:rFonts w:hint="eastAsia" w:ascii="仿宋" w:hAnsi="仿宋" w:eastAsia="仿宋" w:cs="仿宋"/>
          <w:szCs w:val="28"/>
        </w:rPr>
        <w:fldChar w:fldCharType="separate"/>
      </w:r>
      <w:r>
        <w:rPr>
          <w:rFonts w:hint="eastAsia" w:ascii="仿宋" w:hAnsi="仿宋" w:eastAsia="仿宋" w:cs="仿宋"/>
          <w:szCs w:val="28"/>
        </w:rPr>
        <w:t>9</w:t>
      </w:r>
      <w:r>
        <w:rPr>
          <w:rFonts w:hint="eastAsia" w:ascii="仿宋" w:hAnsi="仿宋" w:eastAsia="仿宋" w:cs="仿宋"/>
          <w:szCs w:val="28"/>
        </w:rPr>
        <w:fldChar w:fldCharType="end"/>
      </w:r>
      <w:r>
        <w:rPr>
          <w:rFonts w:hint="eastAsia" w:ascii="仿宋" w:hAnsi="仿宋" w:eastAsia="仿宋" w:cs="仿宋"/>
          <w:szCs w:val="28"/>
        </w:rPr>
        <w:fldChar w:fldCharType="end"/>
      </w:r>
    </w:p>
    <w:p w14:paraId="41D368B8">
      <w:pPr>
        <w:pStyle w:val="13"/>
        <w:tabs>
          <w:tab w:val="right" w:leader="dot" w:pos="8720"/>
        </w:tabs>
        <w:ind w:left="56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"_Toc146022592" </w:instrText>
      </w:r>
      <w:r>
        <w:rPr>
          <w:rFonts w:hint="eastAsia" w:ascii="仿宋" w:hAnsi="仿宋" w:eastAsia="仿宋" w:cs="仿宋"/>
        </w:rPr>
        <w:fldChar w:fldCharType="separate"/>
      </w:r>
      <w:r>
        <w:rPr>
          <w:rStyle w:val="18"/>
          <w:rFonts w:hint="eastAsia" w:ascii="仿宋" w:hAnsi="仿宋" w:eastAsia="仿宋" w:cs="仿宋"/>
          <w:sz w:val="28"/>
          <w:szCs w:val="28"/>
        </w:rPr>
        <w:t>（四）强化运作韧性，建立高效运作服务体系</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_Toc146022592 \h </w:instrText>
      </w:r>
      <w:r>
        <w:rPr>
          <w:rFonts w:hint="eastAsia" w:ascii="仿宋" w:hAnsi="仿宋" w:eastAsia="仿宋" w:cs="仿宋"/>
          <w:szCs w:val="28"/>
        </w:rPr>
        <w:fldChar w:fldCharType="separate"/>
      </w:r>
      <w:r>
        <w:rPr>
          <w:rFonts w:hint="eastAsia" w:ascii="仿宋" w:hAnsi="仿宋" w:eastAsia="仿宋" w:cs="仿宋"/>
          <w:szCs w:val="28"/>
        </w:rPr>
        <w:t>9</w:t>
      </w:r>
      <w:r>
        <w:rPr>
          <w:rFonts w:hint="eastAsia" w:ascii="仿宋" w:hAnsi="仿宋" w:eastAsia="仿宋" w:cs="仿宋"/>
          <w:szCs w:val="28"/>
        </w:rPr>
        <w:fldChar w:fldCharType="end"/>
      </w:r>
      <w:r>
        <w:rPr>
          <w:rFonts w:hint="eastAsia" w:ascii="仿宋" w:hAnsi="仿宋" w:eastAsia="仿宋" w:cs="仿宋"/>
          <w:szCs w:val="28"/>
        </w:rPr>
        <w:fldChar w:fldCharType="end"/>
      </w:r>
    </w:p>
    <w:p w14:paraId="1F1A868A">
      <w:pPr>
        <w:pStyle w:val="7"/>
        <w:tabs>
          <w:tab w:val="right" w:leader="dot" w:pos="8720"/>
        </w:tabs>
        <w:ind w:left="112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"_Toc146022593" </w:instrText>
      </w:r>
      <w:r>
        <w:rPr>
          <w:rFonts w:hint="eastAsia" w:ascii="仿宋" w:hAnsi="仿宋" w:eastAsia="仿宋" w:cs="仿宋"/>
        </w:rPr>
        <w:fldChar w:fldCharType="separate"/>
      </w:r>
      <w:r>
        <w:rPr>
          <w:rStyle w:val="18"/>
          <w:rFonts w:hint="eastAsia" w:ascii="仿宋" w:hAnsi="仿宋" w:eastAsia="仿宋" w:cs="仿宋"/>
          <w:sz w:val="28"/>
          <w:szCs w:val="28"/>
        </w:rPr>
        <w:t>1、构建高效运作服务体系，提升风险应对能力</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_Toc146022593 \h </w:instrText>
      </w:r>
      <w:r>
        <w:rPr>
          <w:rFonts w:hint="eastAsia" w:ascii="仿宋" w:hAnsi="仿宋" w:eastAsia="仿宋" w:cs="仿宋"/>
          <w:szCs w:val="28"/>
        </w:rPr>
        <w:fldChar w:fldCharType="separate"/>
      </w:r>
      <w:r>
        <w:rPr>
          <w:rFonts w:hint="eastAsia" w:ascii="仿宋" w:hAnsi="仿宋" w:eastAsia="仿宋" w:cs="仿宋"/>
          <w:szCs w:val="28"/>
        </w:rPr>
        <w:t>9</w:t>
      </w:r>
      <w:r>
        <w:rPr>
          <w:rFonts w:hint="eastAsia" w:ascii="仿宋" w:hAnsi="仿宋" w:eastAsia="仿宋" w:cs="仿宋"/>
          <w:szCs w:val="28"/>
        </w:rPr>
        <w:fldChar w:fldCharType="end"/>
      </w:r>
      <w:r>
        <w:rPr>
          <w:rFonts w:hint="eastAsia" w:ascii="仿宋" w:hAnsi="仿宋" w:eastAsia="仿宋" w:cs="仿宋"/>
          <w:szCs w:val="28"/>
        </w:rPr>
        <w:fldChar w:fldCharType="end"/>
      </w:r>
    </w:p>
    <w:p w14:paraId="29240801">
      <w:pPr>
        <w:pStyle w:val="7"/>
        <w:tabs>
          <w:tab w:val="right" w:leader="dot" w:pos="8720"/>
        </w:tabs>
        <w:ind w:left="112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"_Toc146022594" </w:instrText>
      </w:r>
      <w:r>
        <w:rPr>
          <w:rFonts w:hint="eastAsia" w:ascii="仿宋" w:hAnsi="仿宋" w:eastAsia="仿宋" w:cs="仿宋"/>
        </w:rPr>
        <w:fldChar w:fldCharType="separate"/>
      </w:r>
      <w:r>
        <w:rPr>
          <w:rStyle w:val="18"/>
          <w:rFonts w:hint="eastAsia" w:ascii="仿宋" w:hAnsi="仿宋" w:eastAsia="仿宋" w:cs="仿宋"/>
          <w:sz w:val="28"/>
          <w:szCs w:val="28"/>
        </w:rPr>
        <w:t>2、打造敏捷灵活的供应链，保障物资供应安全</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_Toc146022594 \h </w:instrText>
      </w:r>
      <w:r>
        <w:rPr>
          <w:rFonts w:hint="eastAsia" w:ascii="仿宋" w:hAnsi="仿宋" w:eastAsia="仿宋" w:cs="仿宋"/>
          <w:szCs w:val="28"/>
        </w:rPr>
        <w:fldChar w:fldCharType="separate"/>
      </w:r>
      <w:r>
        <w:rPr>
          <w:rFonts w:hint="eastAsia" w:ascii="仿宋" w:hAnsi="仿宋" w:eastAsia="仿宋" w:cs="仿宋"/>
          <w:szCs w:val="28"/>
        </w:rPr>
        <w:t>10</w:t>
      </w:r>
      <w:r>
        <w:rPr>
          <w:rFonts w:hint="eastAsia" w:ascii="仿宋" w:hAnsi="仿宋" w:eastAsia="仿宋" w:cs="仿宋"/>
          <w:szCs w:val="28"/>
        </w:rPr>
        <w:fldChar w:fldCharType="end"/>
      </w:r>
      <w:r>
        <w:rPr>
          <w:rFonts w:hint="eastAsia" w:ascii="仿宋" w:hAnsi="仿宋" w:eastAsia="仿宋" w:cs="仿宋"/>
          <w:szCs w:val="28"/>
        </w:rPr>
        <w:fldChar w:fldCharType="end"/>
      </w:r>
    </w:p>
    <w:p w14:paraId="576645D2">
      <w:pPr>
        <w:pStyle w:val="7"/>
        <w:tabs>
          <w:tab w:val="right" w:leader="dot" w:pos="8720"/>
        </w:tabs>
        <w:ind w:left="112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"_Toc146022595" </w:instrText>
      </w:r>
      <w:r>
        <w:rPr>
          <w:rFonts w:hint="eastAsia" w:ascii="仿宋" w:hAnsi="仿宋" w:eastAsia="仿宋" w:cs="仿宋"/>
        </w:rPr>
        <w:fldChar w:fldCharType="separate"/>
      </w:r>
      <w:r>
        <w:rPr>
          <w:rStyle w:val="18"/>
          <w:rFonts w:hint="eastAsia" w:ascii="仿宋" w:hAnsi="仿宋" w:eastAsia="仿宋" w:cs="仿宋"/>
          <w:sz w:val="28"/>
          <w:szCs w:val="28"/>
        </w:rPr>
        <w:t>3、建设坚韧通达的信息网，建立信息韧性防线</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_Toc146022595 \h </w:instrText>
      </w:r>
      <w:r>
        <w:rPr>
          <w:rFonts w:hint="eastAsia" w:ascii="仿宋" w:hAnsi="仿宋" w:eastAsia="仿宋" w:cs="仿宋"/>
          <w:szCs w:val="28"/>
        </w:rPr>
        <w:fldChar w:fldCharType="separate"/>
      </w:r>
      <w:r>
        <w:rPr>
          <w:rFonts w:hint="eastAsia" w:ascii="仿宋" w:hAnsi="仿宋" w:eastAsia="仿宋" w:cs="仿宋"/>
          <w:szCs w:val="28"/>
        </w:rPr>
        <w:t>11</w:t>
      </w:r>
      <w:r>
        <w:rPr>
          <w:rFonts w:hint="eastAsia" w:ascii="仿宋" w:hAnsi="仿宋" w:eastAsia="仿宋" w:cs="仿宋"/>
          <w:szCs w:val="28"/>
        </w:rPr>
        <w:fldChar w:fldCharType="end"/>
      </w:r>
      <w:r>
        <w:rPr>
          <w:rFonts w:hint="eastAsia" w:ascii="仿宋" w:hAnsi="仿宋" w:eastAsia="仿宋" w:cs="仿宋"/>
          <w:szCs w:val="28"/>
        </w:rPr>
        <w:fldChar w:fldCharType="end"/>
      </w:r>
    </w:p>
    <w:p w14:paraId="50858353">
      <w:pPr>
        <w:pStyle w:val="7"/>
        <w:tabs>
          <w:tab w:val="right" w:leader="dot" w:pos="8720"/>
        </w:tabs>
        <w:ind w:left="112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"_Toc146022596" </w:instrText>
      </w:r>
      <w:r>
        <w:rPr>
          <w:rFonts w:hint="eastAsia" w:ascii="仿宋" w:hAnsi="仿宋" w:eastAsia="仿宋" w:cs="仿宋"/>
        </w:rPr>
        <w:fldChar w:fldCharType="separate"/>
      </w:r>
      <w:r>
        <w:rPr>
          <w:rStyle w:val="18"/>
          <w:rFonts w:hint="eastAsia" w:ascii="仿宋" w:hAnsi="仿宋" w:eastAsia="仿宋" w:cs="仿宋"/>
          <w:sz w:val="28"/>
          <w:szCs w:val="28"/>
        </w:rPr>
        <w:t>4、健全重大风险应对机制，增强应急保障能力</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_Toc146022596 \h </w:instrText>
      </w:r>
      <w:r>
        <w:rPr>
          <w:rFonts w:hint="eastAsia" w:ascii="仿宋" w:hAnsi="仿宋" w:eastAsia="仿宋" w:cs="仿宋"/>
          <w:szCs w:val="28"/>
        </w:rPr>
        <w:fldChar w:fldCharType="separate"/>
      </w:r>
      <w:r>
        <w:rPr>
          <w:rFonts w:hint="eastAsia" w:ascii="仿宋" w:hAnsi="仿宋" w:eastAsia="仿宋" w:cs="仿宋"/>
          <w:szCs w:val="28"/>
        </w:rPr>
        <w:t>12</w:t>
      </w:r>
      <w:r>
        <w:rPr>
          <w:rFonts w:hint="eastAsia" w:ascii="仿宋" w:hAnsi="仿宋" w:eastAsia="仿宋" w:cs="仿宋"/>
          <w:szCs w:val="28"/>
        </w:rPr>
        <w:fldChar w:fldCharType="end"/>
      </w:r>
      <w:r>
        <w:rPr>
          <w:rFonts w:hint="eastAsia" w:ascii="仿宋" w:hAnsi="仿宋" w:eastAsia="仿宋" w:cs="仿宋"/>
          <w:szCs w:val="28"/>
        </w:rPr>
        <w:fldChar w:fldCharType="end"/>
      </w:r>
    </w:p>
    <w:p w14:paraId="6169D2F5">
      <w:pPr>
        <w:pStyle w:val="13"/>
        <w:tabs>
          <w:tab w:val="right" w:leader="dot" w:pos="8720"/>
        </w:tabs>
        <w:ind w:left="56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"_Toc146022597" </w:instrText>
      </w:r>
      <w:r>
        <w:rPr>
          <w:rFonts w:hint="eastAsia" w:ascii="仿宋" w:hAnsi="仿宋" w:eastAsia="仿宋" w:cs="仿宋"/>
        </w:rPr>
        <w:fldChar w:fldCharType="separate"/>
      </w:r>
      <w:r>
        <w:rPr>
          <w:rStyle w:val="18"/>
          <w:rFonts w:hint="eastAsia" w:ascii="仿宋" w:hAnsi="仿宋" w:eastAsia="仿宋" w:cs="仿宋"/>
          <w:sz w:val="28"/>
          <w:szCs w:val="28"/>
        </w:rPr>
        <w:t>（五）夯实资源韧性，打造城市能源保障“共同体”</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_Toc146022597 \h </w:instrText>
      </w:r>
      <w:r>
        <w:rPr>
          <w:rFonts w:hint="eastAsia" w:ascii="仿宋" w:hAnsi="仿宋" w:eastAsia="仿宋" w:cs="仿宋"/>
          <w:szCs w:val="28"/>
        </w:rPr>
        <w:fldChar w:fldCharType="separate"/>
      </w:r>
      <w:r>
        <w:rPr>
          <w:rFonts w:hint="eastAsia" w:ascii="仿宋" w:hAnsi="仿宋" w:eastAsia="仿宋" w:cs="仿宋"/>
          <w:szCs w:val="28"/>
        </w:rPr>
        <w:t>13</w:t>
      </w:r>
      <w:r>
        <w:rPr>
          <w:rFonts w:hint="eastAsia" w:ascii="仿宋" w:hAnsi="仿宋" w:eastAsia="仿宋" w:cs="仿宋"/>
          <w:szCs w:val="28"/>
        </w:rPr>
        <w:fldChar w:fldCharType="end"/>
      </w:r>
      <w:r>
        <w:rPr>
          <w:rFonts w:hint="eastAsia" w:ascii="仿宋" w:hAnsi="仿宋" w:eastAsia="仿宋" w:cs="仿宋"/>
          <w:szCs w:val="28"/>
        </w:rPr>
        <w:fldChar w:fldCharType="end"/>
      </w:r>
    </w:p>
    <w:p w14:paraId="0CDCB3FC">
      <w:pPr>
        <w:pStyle w:val="7"/>
        <w:tabs>
          <w:tab w:val="right" w:leader="dot" w:pos="8720"/>
        </w:tabs>
        <w:ind w:left="112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"_Toc146022598" </w:instrText>
      </w:r>
      <w:r>
        <w:rPr>
          <w:rFonts w:hint="eastAsia" w:ascii="仿宋" w:hAnsi="仿宋" w:eastAsia="仿宋" w:cs="仿宋"/>
        </w:rPr>
        <w:fldChar w:fldCharType="separate"/>
      </w:r>
      <w:r>
        <w:rPr>
          <w:rStyle w:val="18"/>
          <w:rFonts w:hint="eastAsia" w:ascii="仿宋" w:hAnsi="仿宋" w:eastAsia="仿宋" w:cs="仿宋"/>
          <w:sz w:val="28"/>
          <w:szCs w:val="28"/>
        </w:rPr>
        <w:t>1、提升人才韧性，打造高可塑性精兵团队</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_Toc146022598 \h </w:instrText>
      </w:r>
      <w:r>
        <w:rPr>
          <w:rFonts w:hint="eastAsia" w:ascii="仿宋" w:hAnsi="仿宋" w:eastAsia="仿宋" w:cs="仿宋"/>
          <w:szCs w:val="28"/>
        </w:rPr>
        <w:fldChar w:fldCharType="separate"/>
      </w:r>
      <w:r>
        <w:rPr>
          <w:rFonts w:hint="eastAsia" w:ascii="仿宋" w:hAnsi="仿宋" w:eastAsia="仿宋" w:cs="仿宋"/>
          <w:szCs w:val="28"/>
        </w:rPr>
        <w:t>13</w:t>
      </w:r>
      <w:r>
        <w:rPr>
          <w:rFonts w:hint="eastAsia" w:ascii="仿宋" w:hAnsi="仿宋" w:eastAsia="仿宋" w:cs="仿宋"/>
          <w:szCs w:val="28"/>
        </w:rPr>
        <w:fldChar w:fldCharType="end"/>
      </w:r>
      <w:r>
        <w:rPr>
          <w:rFonts w:hint="eastAsia" w:ascii="仿宋" w:hAnsi="仿宋" w:eastAsia="仿宋" w:cs="仿宋"/>
          <w:szCs w:val="28"/>
        </w:rPr>
        <w:fldChar w:fldCharType="end"/>
      </w:r>
    </w:p>
    <w:p w14:paraId="73322F07">
      <w:pPr>
        <w:pStyle w:val="7"/>
        <w:tabs>
          <w:tab w:val="right" w:leader="dot" w:pos="8720"/>
        </w:tabs>
        <w:ind w:left="112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"_Toc146022599" </w:instrText>
      </w:r>
      <w:r>
        <w:rPr>
          <w:rFonts w:hint="eastAsia" w:ascii="仿宋" w:hAnsi="仿宋" w:eastAsia="仿宋" w:cs="仿宋"/>
        </w:rPr>
        <w:fldChar w:fldCharType="separate"/>
      </w:r>
      <w:r>
        <w:rPr>
          <w:rStyle w:val="18"/>
          <w:rFonts w:hint="eastAsia" w:ascii="仿宋" w:hAnsi="仿宋" w:eastAsia="仿宋" w:cs="仿宋"/>
          <w:sz w:val="28"/>
          <w:szCs w:val="28"/>
        </w:rPr>
        <w:t>2、强化外部协同，共建能源保供联合体</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_Toc146022599 \h </w:instrText>
      </w:r>
      <w:r>
        <w:rPr>
          <w:rFonts w:hint="eastAsia" w:ascii="仿宋" w:hAnsi="仿宋" w:eastAsia="仿宋" w:cs="仿宋"/>
          <w:szCs w:val="28"/>
        </w:rPr>
        <w:fldChar w:fldCharType="separate"/>
      </w:r>
      <w:r>
        <w:rPr>
          <w:rFonts w:hint="eastAsia" w:ascii="仿宋" w:hAnsi="仿宋" w:eastAsia="仿宋" w:cs="仿宋"/>
          <w:szCs w:val="28"/>
        </w:rPr>
        <w:t>14</w:t>
      </w:r>
      <w:r>
        <w:rPr>
          <w:rFonts w:hint="eastAsia" w:ascii="仿宋" w:hAnsi="仿宋" w:eastAsia="仿宋" w:cs="仿宋"/>
          <w:szCs w:val="28"/>
        </w:rPr>
        <w:fldChar w:fldCharType="end"/>
      </w:r>
      <w:r>
        <w:rPr>
          <w:rFonts w:hint="eastAsia" w:ascii="仿宋" w:hAnsi="仿宋" w:eastAsia="仿宋" w:cs="仿宋"/>
          <w:szCs w:val="28"/>
        </w:rPr>
        <w:fldChar w:fldCharType="end"/>
      </w:r>
    </w:p>
    <w:p w14:paraId="11F7D0DC">
      <w:pPr>
        <w:pStyle w:val="12"/>
        <w:tabs>
          <w:tab w:val="right" w:leader="dot" w:pos="8720"/>
        </w:tabs>
        <w:ind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"_Toc146022600" </w:instrText>
      </w:r>
      <w:r>
        <w:rPr>
          <w:rFonts w:hint="eastAsia" w:ascii="仿宋" w:hAnsi="仿宋" w:eastAsia="仿宋" w:cs="仿宋"/>
        </w:rPr>
        <w:fldChar w:fldCharType="separate"/>
      </w:r>
      <w:r>
        <w:rPr>
          <w:rStyle w:val="18"/>
          <w:rFonts w:hint="eastAsia" w:ascii="仿宋" w:hAnsi="仿宋" w:eastAsia="仿宋" w:cs="仿宋"/>
          <w:sz w:val="28"/>
          <w:szCs w:val="28"/>
        </w:rPr>
        <w:t>三、实施效果</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_Toc146022600 \h </w:instrText>
      </w:r>
      <w:r>
        <w:rPr>
          <w:rFonts w:hint="eastAsia" w:ascii="仿宋" w:hAnsi="仿宋" w:eastAsia="仿宋" w:cs="仿宋"/>
          <w:szCs w:val="28"/>
        </w:rPr>
        <w:fldChar w:fldCharType="separate"/>
      </w:r>
      <w:r>
        <w:rPr>
          <w:rFonts w:hint="eastAsia" w:ascii="仿宋" w:hAnsi="仿宋" w:eastAsia="仿宋" w:cs="仿宋"/>
          <w:szCs w:val="28"/>
        </w:rPr>
        <w:t>15</w:t>
      </w:r>
      <w:r>
        <w:rPr>
          <w:rFonts w:hint="eastAsia" w:ascii="仿宋" w:hAnsi="仿宋" w:eastAsia="仿宋" w:cs="仿宋"/>
          <w:szCs w:val="28"/>
        </w:rPr>
        <w:fldChar w:fldCharType="end"/>
      </w:r>
      <w:r>
        <w:rPr>
          <w:rFonts w:hint="eastAsia" w:ascii="仿宋" w:hAnsi="仿宋" w:eastAsia="仿宋" w:cs="仿宋"/>
          <w:szCs w:val="28"/>
        </w:rPr>
        <w:fldChar w:fldCharType="end"/>
      </w:r>
    </w:p>
    <w:p w14:paraId="0B81B8DD">
      <w:pPr>
        <w:pStyle w:val="13"/>
        <w:tabs>
          <w:tab w:val="right" w:leader="dot" w:pos="8720"/>
        </w:tabs>
        <w:ind w:left="56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"_Toc146022601" </w:instrText>
      </w:r>
      <w:r>
        <w:rPr>
          <w:rFonts w:hint="eastAsia" w:ascii="仿宋" w:hAnsi="仿宋" w:eastAsia="仿宋" w:cs="仿宋"/>
        </w:rPr>
        <w:fldChar w:fldCharType="separate"/>
      </w:r>
      <w:r>
        <w:rPr>
          <w:rStyle w:val="18"/>
          <w:rFonts w:hint="eastAsia" w:ascii="仿宋" w:hAnsi="仿宋" w:eastAsia="仿宋" w:cs="仿宋"/>
          <w:sz w:val="28"/>
          <w:szCs w:val="28"/>
        </w:rPr>
        <w:t>（一）创新提出了韧性电网企业理念体系框架，引起各界高度广泛关注</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_Toc146022601 \h </w:instrText>
      </w:r>
      <w:r>
        <w:rPr>
          <w:rFonts w:hint="eastAsia" w:ascii="仿宋" w:hAnsi="仿宋" w:eastAsia="仿宋" w:cs="仿宋"/>
          <w:szCs w:val="28"/>
        </w:rPr>
        <w:fldChar w:fldCharType="separate"/>
      </w:r>
      <w:r>
        <w:rPr>
          <w:rFonts w:hint="eastAsia" w:ascii="仿宋" w:hAnsi="仿宋" w:eastAsia="仿宋" w:cs="仿宋"/>
          <w:szCs w:val="28"/>
        </w:rPr>
        <w:t>15</w:t>
      </w:r>
      <w:r>
        <w:rPr>
          <w:rFonts w:hint="eastAsia" w:ascii="仿宋" w:hAnsi="仿宋" w:eastAsia="仿宋" w:cs="仿宋"/>
          <w:szCs w:val="28"/>
        </w:rPr>
        <w:fldChar w:fldCharType="end"/>
      </w:r>
      <w:r>
        <w:rPr>
          <w:rFonts w:hint="eastAsia" w:ascii="仿宋" w:hAnsi="仿宋" w:eastAsia="仿宋" w:cs="仿宋"/>
          <w:szCs w:val="28"/>
        </w:rPr>
        <w:fldChar w:fldCharType="end"/>
      </w:r>
    </w:p>
    <w:p w14:paraId="18097428">
      <w:pPr>
        <w:pStyle w:val="13"/>
        <w:tabs>
          <w:tab w:val="right" w:leader="dot" w:pos="8720"/>
        </w:tabs>
        <w:ind w:left="56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"_Toc146022602" </w:instrText>
      </w:r>
      <w:r>
        <w:rPr>
          <w:rFonts w:hint="eastAsia" w:ascii="仿宋" w:hAnsi="仿宋" w:eastAsia="仿宋" w:cs="仿宋"/>
        </w:rPr>
        <w:fldChar w:fldCharType="separate"/>
      </w:r>
      <w:r>
        <w:rPr>
          <w:rStyle w:val="18"/>
          <w:rFonts w:hint="eastAsia" w:ascii="仿宋" w:hAnsi="仿宋" w:eastAsia="仿宋" w:cs="仿宋"/>
          <w:sz w:val="28"/>
          <w:szCs w:val="28"/>
        </w:rPr>
        <w:t>（二）率先形成了超大城市电力安全防控模式，具有重要推广借鉴价值</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_Toc146022602 \h </w:instrText>
      </w:r>
      <w:r>
        <w:rPr>
          <w:rFonts w:hint="eastAsia" w:ascii="仿宋" w:hAnsi="仿宋" w:eastAsia="仿宋" w:cs="仿宋"/>
          <w:szCs w:val="28"/>
        </w:rPr>
        <w:fldChar w:fldCharType="separate"/>
      </w:r>
      <w:r>
        <w:rPr>
          <w:rFonts w:hint="eastAsia" w:ascii="仿宋" w:hAnsi="仿宋" w:eastAsia="仿宋" w:cs="仿宋"/>
          <w:szCs w:val="28"/>
        </w:rPr>
        <w:t>16</w:t>
      </w:r>
      <w:r>
        <w:rPr>
          <w:rFonts w:hint="eastAsia" w:ascii="仿宋" w:hAnsi="仿宋" w:eastAsia="仿宋" w:cs="仿宋"/>
          <w:szCs w:val="28"/>
        </w:rPr>
        <w:fldChar w:fldCharType="end"/>
      </w:r>
      <w:r>
        <w:rPr>
          <w:rFonts w:hint="eastAsia" w:ascii="仿宋" w:hAnsi="仿宋" w:eastAsia="仿宋" w:cs="仿宋"/>
          <w:szCs w:val="28"/>
        </w:rPr>
        <w:fldChar w:fldCharType="end"/>
      </w:r>
    </w:p>
    <w:p w14:paraId="5868F798">
      <w:pPr>
        <w:pStyle w:val="13"/>
        <w:tabs>
          <w:tab w:val="right" w:leader="dot" w:pos="8720"/>
        </w:tabs>
        <w:ind w:left="560" w:firstLine="560"/>
        <w:rPr>
          <w:rFonts w:hint="eastAsia" w:ascii="仿宋" w:hAnsi="仿宋" w:eastAsia="仿宋" w:cs="仿宋"/>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"_Toc146022603" </w:instrText>
      </w:r>
      <w:r>
        <w:rPr>
          <w:rFonts w:hint="eastAsia" w:ascii="仿宋" w:hAnsi="仿宋" w:eastAsia="仿宋" w:cs="仿宋"/>
        </w:rPr>
        <w:fldChar w:fldCharType="separate"/>
      </w:r>
      <w:r>
        <w:rPr>
          <w:rStyle w:val="18"/>
          <w:rFonts w:hint="eastAsia" w:ascii="仿宋" w:hAnsi="仿宋" w:eastAsia="仿宋" w:cs="仿宋"/>
          <w:sz w:val="28"/>
          <w:szCs w:val="28"/>
        </w:rPr>
        <w:t>（三）显著增强了电网企业极端事件应对能力，有效助力韧性城市建设</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_Toc146022603 \h </w:instrText>
      </w:r>
      <w:r>
        <w:rPr>
          <w:rFonts w:hint="eastAsia" w:ascii="仿宋" w:hAnsi="仿宋" w:eastAsia="仿宋" w:cs="仿宋"/>
          <w:szCs w:val="28"/>
        </w:rPr>
        <w:fldChar w:fldCharType="separate"/>
      </w:r>
      <w:r>
        <w:rPr>
          <w:rFonts w:hint="eastAsia" w:ascii="仿宋" w:hAnsi="仿宋" w:eastAsia="仿宋" w:cs="仿宋"/>
          <w:szCs w:val="28"/>
        </w:rPr>
        <w:t>16</w:t>
      </w:r>
      <w:r>
        <w:rPr>
          <w:rFonts w:hint="eastAsia" w:ascii="仿宋" w:hAnsi="仿宋" w:eastAsia="仿宋" w:cs="仿宋"/>
          <w:szCs w:val="28"/>
        </w:rPr>
        <w:fldChar w:fldCharType="end"/>
      </w:r>
      <w:r>
        <w:rPr>
          <w:rFonts w:hint="eastAsia" w:ascii="仿宋" w:hAnsi="仿宋" w:eastAsia="仿宋" w:cs="仿宋"/>
          <w:szCs w:val="28"/>
        </w:rPr>
        <w:fldChar w:fldCharType="end"/>
      </w:r>
    </w:p>
    <w:p w14:paraId="2345F3BE">
      <w:pPr>
        <w:pStyle w:val="13"/>
        <w:tabs>
          <w:tab w:val="right" w:leader="dot" w:pos="8720"/>
        </w:tabs>
        <w:ind w:left="560" w:firstLine="560"/>
        <w:rPr>
          <w:rFonts w:ascii="仿宋" w:hAnsi="仿宋" w:cstheme="minorBidi"/>
          <w:szCs w:val="28"/>
          <w14:ligatures w14:val="standardContextual"/>
        </w:rPr>
      </w:pPr>
      <w:r>
        <w:rPr>
          <w:rFonts w:hint="eastAsia" w:ascii="仿宋" w:hAnsi="仿宋" w:eastAsia="仿宋" w:cs="仿宋"/>
        </w:rPr>
        <w:fldChar w:fldCharType="begin"/>
      </w:r>
      <w:r>
        <w:rPr>
          <w:rFonts w:hint="eastAsia" w:ascii="仿宋" w:hAnsi="仿宋" w:eastAsia="仿宋" w:cs="仿宋"/>
        </w:rPr>
        <w:instrText xml:space="preserve"> HYPERLINK \l "_Toc146022604" </w:instrText>
      </w:r>
      <w:r>
        <w:rPr>
          <w:rFonts w:hint="eastAsia" w:ascii="仿宋" w:hAnsi="仿宋" w:eastAsia="仿宋" w:cs="仿宋"/>
        </w:rPr>
        <w:fldChar w:fldCharType="separate"/>
      </w:r>
      <w:r>
        <w:rPr>
          <w:rStyle w:val="18"/>
          <w:rFonts w:hint="eastAsia" w:ascii="仿宋" w:hAnsi="仿宋" w:eastAsia="仿宋" w:cs="仿宋"/>
          <w:sz w:val="28"/>
          <w:szCs w:val="28"/>
        </w:rPr>
        <w:t>（四）明显促进了电网企业整体管理效率提升，有力推动企业高质量发展</w:t>
      </w:r>
      <w:r>
        <w:rPr>
          <w:rFonts w:hint="eastAsia" w:ascii="仿宋" w:hAnsi="仿宋" w:eastAsia="仿宋" w:cs="仿宋"/>
          <w:szCs w:val="28"/>
        </w:rPr>
        <w:tab/>
      </w:r>
      <w:r>
        <w:rPr>
          <w:rFonts w:hint="eastAsia" w:ascii="仿宋" w:hAnsi="仿宋" w:eastAsia="仿宋" w:cs="仿宋"/>
          <w:szCs w:val="28"/>
        </w:rPr>
        <w:fldChar w:fldCharType="begin"/>
      </w:r>
      <w:r>
        <w:rPr>
          <w:rFonts w:hint="eastAsia" w:ascii="仿宋" w:hAnsi="仿宋" w:eastAsia="仿宋" w:cs="仿宋"/>
          <w:szCs w:val="28"/>
        </w:rPr>
        <w:instrText xml:space="preserve"> PAGEREF _Toc146022604 \h </w:instrText>
      </w:r>
      <w:r>
        <w:rPr>
          <w:rFonts w:hint="eastAsia" w:ascii="仿宋" w:hAnsi="仿宋" w:eastAsia="仿宋" w:cs="仿宋"/>
          <w:szCs w:val="28"/>
        </w:rPr>
        <w:fldChar w:fldCharType="separate"/>
      </w:r>
      <w:r>
        <w:rPr>
          <w:rFonts w:hint="eastAsia" w:ascii="仿宋" w:hAnsi="仿宋" w:eastAsia="仿宋" w:cs="仿宋"/>
          <w:szCs w:val="28"/>
        </w:rPr>
        <w:t>17</w:t>
      </w:r>
      <w:r>
        <w:rPr>
          <w:rFonts w:hint="eastAsia" w:ascii="仿宋" w:hAnsi="仿宋" w:eastAsia="仿宋" w:cs="仿宋"/>
          <w:szCs w:val="28"/>
        </w:rPr>
        <w:fldChar w:fldCharType="end"/>
      </w:r>
      <w:r>
        <w:rPr>
          <w:rFonts w:hint="eastAsia" w:ascii="仿宋" w:hAnsi="仿宋" w:eastAsia="仿宋" w:cs="仿宋"/>
          <w:szCs w:val="28"/>
        </w:rPr>
        <w:fldChar w:fldCharType="end"/>
      </w:r>
    </w:p>
    <w:p w14:paraId="64990E82">
      <w:pPr>
        <w:ind w:firstLine="560"/>
        <w:rPr>
          <w:rFonts w:ascii="仿宋" w:hAnsi="仿宋"/>
          <w:szCs w:val="28"/>
        </w:rPr>
      </w:pPr>
      <w:r>
        <w:rPr>
          <w:rFonts w:ascii="仿宋" w:hAnsi="仿宋"/>
          <w:bCs/>
          <w:szCs w:val="28"/>
          <w:lang w:val="zh-CN"/>
        </w:rPr>
        <w:fldChar w:fldCharType="end"/>
      </w:r>
    </w:p>
    <w:p w14:paraId="512516BC">
      <w:pPr>
        <w:ind w:firstLine="0" w:firstLineChars="0"/>
        <w:jc w:val="center"/>
        <w:rPr>
          <w:rFonts w:ascii="黑体" w:hAnsi="黑体" w:eastAsia="黑体"/>
          <w:sz w:val="30"/>
          <w:szCs w:val="30"/>
        </w:rPr>
        <w:sectPr>
          <w:pgSz w:w="11906" w:h="16838"/>
          <w:pgMar w:top="1440" w:right="1588" w:bottom="1440" w:left="1588" w:header="851" w:footer="1247" w:gutter="0"/>
          <w:pgNumType w:fmt="upperRoman" w:start="1"/>
          <w:cols w:space="720" w:num="1"/>
          <w:docGrid w:linePitch="312" w:charSpace="0"/>
        </w:sectPr>
      </w:pPr>
    </w:p>
    <w:p w14:paraId="384A87DA">
      <w:pPr>
        <w:pageBreakBefore/>
        <w:ind w:firstLine="0" w:firstLineChars="0"/>
        <w:jc w:val="center"/>
        <w:rPr>
          <w:rFonts w:ascii="黑体" w:hAnsi="黑体" w:eastAsia="黑体"/>
          <w:color w:val="000000"/>
          <w:sz w:val="30"/>
          <w:szCs w:val="30"/>
        </w:rPr>
      </w:pPr>
      <w:r>
        <w:rPr>
          <w:rFonts w:hint="eastAsia" w:ascii="黑体" w:hAnsi="黑体" w:eastAsia="黑体"/>
          <w:color w:val="000000"/>
          <w:sz w:val="30"/>
          <w:szCs w:val="30"/>
        </w:rPr>
        <w:t>保障超大城市能源安全的韧性电网企业建设实践</w:t>
      </w:r>
    </w:p>
    <w:p w14:paraId="5A8A7327">
      <w:pPr>
        <w:spacing w:line="540" w:lineRule="exact"/>
        <w:ind w:right="-6" w:firstLine="0" w:firstLineChars="0"/>
        <w:jc w:val="center"/>
        <w:rPr>
          <w:rFonts w:ascii="黑体" w:hAnsi="黑体" w:eastAsia="黑体"/>
          <w:color w:val="000000"/>
          <w:szCs w:val="28"/>
        </w:rPr>
      </w:pPr>
      <w:r>
        <w:rPr>
          <w:rFonts w:hint="eastAsia" w:ascii="黑体" w:hAnsi="黑体" w:eastAsia="黑体"/>
          <w:color w:val="000000"/>
          <w:szCs w:val="28"/>
          <w:lang w:val="en-US" w:eastAsia="zh-CN"/>
        </w:rPr>
        <w:t>*********</w:t>
      </w:r>
      <w:r>
        <w:rPr>
          <w:rFonts w:hint="eastAsia" w:ascii="黑体" w:hAnsi="黑体" w:eastAsia="黑体"/>
          <w:color w:val="000000"/>
          <w:szCs w:val="28"/>
        </w:rPr>
        <w:t>公司</w:t>
      </w:r>
    </w:p>
    <w:p w14:paraId="5E97FBC5">
      <w:pPr>
        <w:spacing w:line="540" w:lineRule="exact"/>
        <w:ind w:right="-6" w:firstLine="600"/>
        <w:rPr>
          <w:rFonts w:ascii="华文仿宋" w:hAnsi="华文仿宋" w:eastAsia="华文仿宋"/>
          <w:color w:val="000000"/>
          <w:sz w:val="30"/>
          <w:szCs w:val="30"/>
        </w:rPr>
      </w:pPr>
    </w:p>
    <w:p w14:paraId="0FEC593F">
      <w:pPr>
        <w:ind w:firstLine="562"/>
        <w:rPr>
          <w:rFonts w:ascii="仿宋" w:hAnsi="仿宋"/>
          <w:szCs w:val="28"/>
        </w:rPr>
      </w:pPr>
      <w:r>
        <w:rPr>
          <w:rFonts w:hint="eastAsia" w:ascii="仿宋" w:hAnsi="仿宋"/>
          <w:b/>
          <w:bCs/>
        </w:rPr>
        <w:t>摘要：</w:t>
      </w:r>
      <w:r>
        <w:rPr>
          <w:rFonts w:ascii="仿宋" w:hAnsi="仿宋" w:cs="Arial"/>
          <w:color w:val="222222"/>
          <w:szCs w:val="28"/>
          <w:shd w:val="clear" w:color="auto" w:fill="FFFFFF"/>
        </w:rPr>
        <w:t>习近平总书记</w:t>
      </w:r>
      <w:r>
        <w:rPr>
          <w:rFonts w:hint="eastAsia" w:ascii="仿宋" w:hAnsi="仿宋" w:cs="Arial"/>
          <w:color w:val="222222"/>
          <w:szCs w:val="28"/>
          <w:shd w:val="clear" w:color="auto" w:fill="FFFFFF"/>
        </w:rPr>
        <w:t>指出：能源保障和安全事关国计民生。党中</w:t>
      </w:r>
      <w:r>
        <w:rPr>
          <w:rFonts w:hint="eastAsia" w:ascii="仿宋" w:hAnsi="仿宋"/>
          <w:szCs w:val="28"/>
        </w:rPr>
        <w:t>央提出构建以新能源为主体的新型电力系统战略和“双碳”战略。当前城市电网“双高”“双峰”“双侧随机”特性愈发凸显，迫切需要提高电网韧性。纽约大停电、英国大停电等重大电网事故相继发生，极端灾害和极端事件频发，为超大城市电网安全运行敲响警钟。</w:t>
      </w:r>
      <w:r>
        <w:rPr>
          <w:rFonts w:hint="eastAsia" w:ascii="仿宋" w:hAnsi="仿宋"/>
          <w:szCs w:val="28"/>
          <w:lang w:val="en-US" w:eastAsia="zh-CN"/>
        </w:rPr>
        <w:t>**</w:t>
      </w:r>
      <w:r>
        <w:rPr>
          <w:rFonts w:hint="eastAsia" w:ascii="仿宋" w:hAnsi="仿宋"/>
          <w:szCs w:val="28"/>
        </w:rPr>
        <w:t>正加快韧性城市建设，</w:t>
      </w:r>
      <w:r>
        <w:rPr>
          <w:rFonts w:hint="eastAsia" w:ascii="仿宋" w:hAnsi="仿宋"/>
          <w:szCs w:val="28"/>
          <w:lang w:val="en-US" w:eastAsia="zh-CN"/>
        </w:rPr>
        <w:t>*******</w:t>
      </w:r>
      <w:r>
        <w:rPr>
          <w:rFonts w:hint="eastAsia" w:ascii="仿宋" w:hAnsi="仿宋"/>
          <w:szCs w:val="28"/>
        </w:rPr>
        <w:t>公司为更好适应形势变化，首次将韧性理念应用于电网企业管理，创新性提出“韧性电网企业”概念，构建了韧性电网企业建设体系，聚焦坚强性、卓越性、可靠性、可塑性，紧抓电网韧性、经营韧性、运作韧性、资源韧性，重点打造坚强韧性的电网、稳健卓越的领导、因势而变的组织、柔韧勇毅的文化、高效运作的服务体系、敏捷灵活的供应链、坚韧通达的信息网、内部聚力的高可塑性员工队伍、外部协同的生态系统命运共同体，建设具备 “六力”特征的韧性电网企业，全方位增强电网企业应对复杂多变的安全形势下保供电能力，更好地支撑韧性城市建设。</w:t>
      </w:r>
    </w:p>
    <w:p w14:paraId="50A8A0CA">
      <w:pPr>
        <w:ind w:firstLine="562"/>
        <w:jc w:val="center"/>
        <w:rPr>
          <w:rFonts w:hint="eastAsia" w:ascii="仿宋" w:hAnsi="仿宋"/>
          <w:b/>
          <w:bCs/>
          <w:lang w:val="en-US" w:eastAsia="zh-CN"/>
        </w:rPr>
      </w:pPr>
      <w:r>
        <w:rPr>
          <w:rFonts w:hint="eastAsia" w:ascii="仿宋" w:hAnsi="仿宋"/>
          <w:b/>
          <w:bCs/>
          <w:lang w:val="en-US" w:eastAsia="zh-CN"/>
        </w:rPr>
        <w:t>企业简介</w:t>
      </w:r>
    </w:p>
    <w:p w14:paraId="1B7E8131">
      <w:pPr>
        <w:ind w:left="0" w:leftChars="0" w:firstLine="560" w:firstLineChars="200"/>
        <w:rPr>
          <w:rFonts w:ascii="仿宋" w:hAnsi="仿宋"/>
        </w:rPr>
      </w:pPr>
      <w:r>
        <w:rPr>
          <w:rFonts w:hint="eastAsia" w:ascii="仿宋" w:hAnsi="仿宋"/>
          <w:lang w:val="en-US" w:eastAsia="zh-CN"/>
        </w:rPr>
        <w:t>**********</w:t>
      </w:r>
      <w:r>
        <w:rPr>
          <w:rFonts w:hint="eastAsia" w:ascii="仿宋" w:hAnsi="仿宋"/>
        </w:rPr>
        <w:t>公司（以下简称“</w:t>
      </w:r>
      <w:r>
        <w:rPr>
          <w:rFonts w:hint="eastAsia" w:ascii="仿宋" w:hAnsi="仿宋"/>
          <w:lang w:val="en-US" w:eastAsia="zh-CN"/>
        </w:rPr>
        <w:t>*********</w:t>
      </w:r>
      <w:r>
        <w:rPr>
          <w:rFonts w:hint="eastAsia" w:ascii="仿宋" w:hAnsi="仿宋"/>
        </w:rPr>
        <w:t>力”）是负责</w:t>
      </w:r>
      <w:r>
        <w:rPr>
          <w:rFonts w:hint="eastAsia" w:ascii="仿宋" w:hAnsi="仿宋"/>
          <w:lang w:val="en-US" w:eastAsia="zh-CN"/>
        </w:rPr>
        <w:t>**</w:t>
      </w:r>
      <w:r>
        <w:rPr>
          <w:rFonts w:hint="eastAsia" w:ascii="仿宋" w:hAnsi="仿宋"/>
        </w:rPr>
        <w:t>市辖区内电力供应和保障的特大型企业，是中国历史最悠久的电力企业，基本建成对标东京、新加坡的世界一流城市电网。目前供电面积6340.5平方公里，资产总额达1784亿元，年售电量1523亿千瓦时，共有员工13031人，服务客户1088万户。</w:t>
      </w:r>
      <w:r>
        <w:rPr>
          <w:rFonts w:hint="eastAsia" w:ascii="仿宋" w:hAnsi="仿宋"/>
          <w:lang w:eastAsia="zh-CN"/>
        </w:rPr>
        <w:t>公司</w:t>
      </w:r>
      <w:r>
        <w:rPr>
          <w:rFonts w:hint="eastAsia" w:ascii="仿宋" w:hAnsi="仿宋"/>
        </w:rPr>
        <w:t>秉承“努力超越、追求卓越”的企业精神和“你用电、我用心”的服务宗旨，积极履行基础民生保障和韧性城市守护责任，圆满完成建党百年、进博会、花博会、抗击高温、防台防汛等重大保电任务，为城市经济社会高质量发展作出了突出贡献。荣获全球卓越绩效奖、亚洲质量创新奖、全国质量标杆、市政府质量奖、全国用户满意企业等荣誉，是行业内唯一获得全国质量奖和中国质量奖的企业，连续22年保持市政风行风和 12345市民热线绩效考核第一。</w:t>
      </w:r>
    </w:p>
    <w:p w14:paraId="71394BF7">
      <w:pPr>
        <w:pStyle w:val="2"/>
        <w:ind w:firstLine="562"/>
        <w:rPr>
          <w:rFonts w:ascii="仿宋" w:hAnsi="仿宋"/>
        </w:rPr>
      </w:pPr>
      <w:bookmarkStart w:id="0" w:name="_Toc146022575"/>
      <w:r>
        <w:rPr>
          <w:rFonts w:hint="eastAsia" w:ascii="仿宋" w:hAnsi="仿宋"/>
        </w:rPr>
        <w:t>一、实施背景</w:t>
      </w:r>
      <w:bookmarkEnd w:id="0"/>
    </w:p>
    <w:p w14:paraId="57AA2EEE">
      <w:pPr>
        <w:pStyle w:val="3"/>
        <w:ind w:firstLine="562"/>
        <w:rPr>
          <w:rFonts w:ascii="仿宋" w:hAnsi="仿宋"/>
        </w:rPr>
      </w:pPr>
      <w:bookmarkStart w:id="1" w:name="_Toc146022576"/>
      <w:r>
        <w:rPr>
          <w:rFonts w:hint="eastAsia" w:ascii="仿宋" w:hAnsi="仿宋"/>
        </w:rPr>
        <w:t>（一）能源保障和电力安全关系国计民生、千家万户</w:t>
      </w:r>
      <w:bookmarkEnd w:id="1"/>
    </w:p>
    <w:p w14:paraId="011EE519">
      <w:pPr>
        <w:ind w:firstLine="560"/>
        <w:rPr>
          <w:rFonts w:ascii="仿宋" w:hAnsi="仿宋"/>
          <w:szCs w:val="28"/>
        </w:rPr>
      </w:pPr>
      <w:r>
        <w:rPr>
          <w:rFonts w:ascii="仿宋" w:hAnsi="仿宋" w:cs="Arial"/>
          <w:color w:val="222222"/>
          <w:szCs w:val="28"/>
          <w:shd w:val="clear" w:color="auto" w:fill="FFFFFF"/>
        </w:rPr>
        <w:t>习近平总书记</w:t>
      </w:r>
      <w:r>
        <w:rPr>
          <w:rFonts w:hint="eastAsia" w:ascii="仿宋" w:hAnsi="仿宋" w:cs="Arial"/>
          <w:color w:val="222222"/>
          <w:szCs w:val="28"/>
          <w:shd w:val="clear" w:color="auto" w:fill="FFFFFF"/>
        </w:rPr>
        <w:t>指出：能源保障和安全事关国计民生，是须臾不可忽视的“国之大者”。</w:t>
      </w:r>
      <w:r>
        <w:rPr>
          <w:rFonts w:hint="eastAsia" w:ascii="仿宋" w:hAnsi="仿宋"/>
          <w:szCs w:val="28"/>
        </w:rPr>
        <w:t>随着新能源占比的不断上升，电网“双峰”“双随机”特征愈发凸显，能源高效消纳技术难题更加突出。</w:t>
      </w:r>
      <w:r>
        <w:rPr>
          <w:rFonts w:hint="eastAsia" w:ascii="仿宋" w:hAnsi="仿宋" w:cs="Arial"/>
          <w:color w:val="222222"/>
          <w:szCs w:val="28"/>
          <w:shd w:val="clear" w:color="auto" w:fill="FFFFFF"/>
        </w:rPr>
        <w:t>纽约大停电、英国大停电等重大电网事故相继发生，为超大城市电网安全运行敲响警钟。</w:t>
      </w:r>
      <w:r>
        <w:rPr>
          <w:rFonts w:hint="eastAsia" w:ascii="仿宋" w:hAnsi="仿宋"/>
          <w:szCs w:val="28"/>
        </w:rPr>
        <w:t>当前电网面临的安全风险愈发复杂，电网安全保供能力的潜在威胁日益增多，电网安全的内涵亟待拓展和深化。</w:t>
      </w:r>
      <w:r>
        <w:rPr>
          <w:rFonts w:hint="eastAsia" w:ascii="仿宋" w:hAnsi="仿宋" w:cs="Arial"/>
          <w:color w:val="222222"/>
          <w:szCs w:val="28"/>
          <w:shd w:val="clear" w:color="auto" w:fill="FFFFFF"/>
        </w:rPr>
        <w:t>电力安全是能源转型发展的底线，</w:t>
      </w:r>
      <w:r>
        <w:rPr>
          <w:rFonts w:hint="eastAsia" w:ascii="仿宋" w:hAnsi="仿宋"/>
          <w:szCs w:val="28"/>
        </w:rPr>
        <w:t>在</w:t>
      </w:r>
      <w:r>
        <w:rPr>
          <w:rFonts w:ascii="仿宋" w:hAnsi="仿宋" w:cs="Arial"/>
          <w:color w:val="222222"/>
          <w:szCs w:val="28"/>
          <w:shd w:val="clear" w:color="auto" w:fill="FFFFFF"/>
        </w:rPr>
        <w:t>保障国家能源安全上，</w:t>
      </w:r>
      <w:r>
        <w:rPr>
          <w:rFonts w:hint="eastAsia" w:ascii="仿宋" w:hAnsi="仿宋" w:cs="Arial"/>
          <w:color w:val="222222"/>
          <w:szCs w:val="28"/>
          <w:shd w:val="clear" w:color="auto" w:fill="FFFFFF"/>
          <w:lang w:eastAsia="zh-CN"/>
        </w:rPr>
        <w:t>公司</w:t>
      </w:r>
      <w:r>
        <w:rPr>
          <w:rFonts w:hint="eastAsia" w:ascii="仿宋" w:hAnsi="仿宋" w:cs="Arial"/>
          <w:color w:val="222222"/>
          <w:szCs w:val="28"/>
          <w:shd w:val="clear" w:color="auto" w:fill="FFFFFF"/>
        </w:rPr>
        <w:t>的</w:t>
      </w:r>
      <w:r>
        <w:rPr>
          <w:rFonts w:ascii="仿宋" w:hAnsi="仿宋" w:cs="Arial"/>
          <w:color w:val="222222"/>
          <w:szCs w:val="28"/>
          <w:shd w:val="clear" w:color="auto" w:fill="FFFFFF"/>
        </w:rPr>
        <w:t>地位和作用无可替代，也责无旁贷。</w:t>
      </w:r>
      <w:r>
        <w:rPr>
          <w:rFonts w:hint="eastAsia" w:ascii="仿宋" w:hAnsi="仿宋"/>
          <w:szCs w:val="28"/>
        </w:rPr>
        <w:t>亟需构建坚强智能、源网荷储协同互动的新型电力系统，打造“打不垮”、“不停电”的坚强韧性电网，建设“具备韧性素质、适应韧性发展、支撑韧性电网” 的韧性电网企业，动态适应不断变化的外部环境，更好地落实新型电力系统建设和</w:t>
      </w:r>
      <w:r>
        <w:rPr>
          <w:rFonts w:hint="eastAsia" w:ascii="仿宋" w:hAnsi="仿宋" w:cs="Arial"/>
          <w:color w:val="222222"/>
          <w:szCs w:val="28"/>
          <w:shd w:val="clear" w:color="auto" w:fill="FFFFFF"/>
        </w:rPr>
        <w:t>“双碳”战略</w:t>
      </w:r>
      <w:r>
        <w:rPr>
          <w:rFonts w:hint="eastAsia" w:ascii="仿宋" w:hAnsi="仿宋"/>
          <w:szCs w:val="28"/>
        </w:rPr>
        <w:t>要求，更好地支撑经济社会高质量运转。</w:t>
      </w:r>
    </w:p>
    <w:p w14:paraId="3BCED610">
      <w:pPr>
        <w:pStyle w:val="3"/>
        <w:ind w:firstLine="562"/>
        <w:rPr>
          <w:rFonts w:ascii="仿宋" w:hAnsi="仿宋"/>
        </w:rPr>
      </w:pPr>
      <w:bookmarkStart w:id="2" w:name="_Toc146022577"/>
      <w:r>
        <w:rPr>
          <w:rFonts w:hint="eastAsia" w:ascii="仿宋" w:hAnsi="仿宋"/>
        </w:rPr>
        <w:t>（二）韧性城市建设要求加快韧性电网企业建设</w:t>
      </w:r>
      <w:bookmarkEnd w:id="2"/>
    </w:p>
    <w:p w14:paraId="134B3B21">
      <w:pPr>
        <w:ind w:firstLine="560"/>
        <w:rPr>
          <w:rFonts w:ascii="仿宋" w:hAnsi="仿宋"/>
        </w:rPr>
      </w:pPr>
      <w:r>
        <w:rPr>
          <w:rFonts w:hint="eastAsia" w:ascii="仿宋" w:hAnsi="仿宋"/>
          <w:lang w:eastAsia="zh-CN"/>
        </w:rPr>
        <w:t>城市</w:t>
      </w:r>
      <w:r>
        <w:rPr>
          <w:rFonts w:hint="eastAsia" w:ascii="仿宋" w:hAnsi="仿宋"/>
        </w:rPr>
        <w:t>面临国际化背景下输入型风险日益增加、城市功能定位带来的伴生型风险将日益突出、密集型要素带来的交叉型风险不断呈现、“互联网+”时代各类衍生型风险不断生成等风险，全球气候变暖背景下极端天气频发，伴随极端天气及自然灾害的冲击，建设韧性城市势在必行。</w:t>
      </w:r>
      <w:r>
        <w:rPr>
          <w:rFonts w:hint="eastAsia" w:ascii="仿宋" w:hAnsi="仿宋"/>
          <w:lang w:eastAsia="zh-CN"/>
        </w:rPr>
        <w:t>城市</w:t>
      </w:r>
      <w:r>
        <w:rPr>
          <w:rFonts w:hint="eastAsia" w:ascii="仿宋" w:hAnsi="仿宋"/>
        </w:rPr>
        <w:t>提出建设能够应对发展中各种风险、有快速修复能力的“韧性城市”目标，并将韧性城市建设纳入</w:t>
      </w:r>
      <w:r>
        <w:rPr>
          <w:rFonts w:hint="eastAsia" w:ascii="仿宋" w:hAnsi="仿宋"/>
          <w:lang w:eastAsia="zh-CN"/>
        </w:rPr>
        <w:t>城市</w:t>
      </w:r>
      <w:r>
        <w:rPr>
          <w:rFonts w:hint="eastAsia" w:ascii="仿宋" w:hAnsi="仿宋"/>
        </w:rPr>
        <w:t>城市总体规划，进一步筑牢城市安全屏障，提升城市承受冲击、敏捷应对、快速恢复的能力，保持城市功能正常运行。电网韧性是城市韧性的基础和重要组成部分，</w:t>
      </w:r>
      <w:r>
        <w:rPr>
          <w:rFonts w:hint="eastAsia" w:ascii="仿宋" w:hAnsi="仿宋"/>
          <w:lang w:eastAsia="zh-CN"/>
        </w:rPr>
        <w:t>公司</w:t>
      </w:r>
      <w:r>
        <w:rPr>
          <w:rFonts w:hint="eastAsia" w:ascii="仿宋" w:hAnsi="仿宋"/>
        </w:rPr>
        <w:t>亟需加快韧性电网企业建设，建立高质量的城市能源电力供应系统，为</w:t>
      </w:r>
      <w:r>
        <w:rPr>
          <w:rFonts w:hint="eastAsia" w:ascii="仿宋" w:hAnsi="仿宋"/>
          <w:lang w:eastAsia="zh-CN"/>
        </w:rPr>
        <w:t>城市</w:t>
      </w:r>
      <w:r>
        <w:rPr>
          <w:rFonts w:hint="eastAsia" w:ascii="仿宋" w:hAnsi="仿宋"/>
        </w:rPr>
        <w:t>提供“世界会客厅级”电力保障，为韧性城市建设提供有力支撑。</w:t>
      </w:r>
    </w:p>
    <w:p w14:paraId="5585F616">
      <w:pPr>
        <w:pStyle w:val="3"/>
        <w:ind w:firstLine="562"/>
        <w:rPr>
          <w:rFonts w:ascii="仿宋" w:hAnsi="仿宋"/>
        </w:rPr>
      </w:pPr>
      <w:bookmarkStart w:id="3" w:name="_Toc146022578"/>
      <w:r>
        <w:rPr>
          <w:rFonts w:hint="eastAsia" w:ascii="仿宋" w:hAnsi="仿宋"/>
        </w:rPr>
        <w:t>（三）应对复杂安全形势需要持续提高电网企业韧性</w:t>
      </w:r>
      <w:bookmarkEnd w:id="3"/>
    </w:p>
    <w:p w14:paraId="2BBEA8CB">
      <w:pPr>
        <w:ind w:firstLine="560"/>
        <w:rPr>
          <w:rFonts w:ascii="仿宋" w:hAnsi="仿宋"/>
        </w:rPr>
      </w:pPr>
      <w:r>
        <w:rPr>
          <w:rFonts w:hint="eastAsia" w:ascii="仿宋" w:hAnsi="仿宋"/>
        </w:rPr>
        <w:t>近年来，国际政治格局动荡、极端天气频发、网络攻击频繁，电网企业面临的外部风险源日益增多，不可知、不可控因素日渐累积叠加，逆全球化风潮的技术封锁风险加剧，要求电网企业注重供应链安全、提高技术自主水平；电力负荷大幅攀升，西南水电出力的不确定性叠加输电通道集中，电网安全风险突出，要求电网企业提高应急保供能力；网络攻击的威胁变得现实而紧迫，要求电网提高信息安全水平；突发性公共事件带来巨大不确定性，要求电网企业提高经营管理灵活性。</w:t>
      </w:r>
      <w:r>
        <w:rPr>
          <w:rFonts w:hint="eastAsia" w:ascii="仿宋" w:hAnsi="仿宋"/>
          <w:lang w:eastAsia="zh-CN"/>
        </w:rPr>
        <w:t>公司</w:t>
      </w:r>
      <w:r>
        <w:rPr>
          <w:rFonts w:hint="eastAsia" w:ascii="仿宋" w:hAnsi="仿宋"/>
        </w:rPr>
        <w:t>需主动适应安全形势变化，进一步提升应对突发事件的能力，建设韧性电网企业，增强企业对安全形势的应对能力。</w:t>
      </w:r>
    </w:p>
    <w:p w14:paraId="520B27A0">
      <w:pPr>
        <w:pStyle w:val="2"/>
        <w:ind w:firstLine="562"/>
        <w:rPr>
          <w:rFonts w:ascii="仿宋" w:hAnsi="仿宋"/>
        </w:rPr>
      </w:pPr>
      <w:bookmarkStart w:id="4" w:name="_Toc146022579"/>
      <w:r>
        <w:rPr>
          <w:rFonts w:hint="eastAsia" w:ascii="仿宋" w:hAnsi="仿宋"/>
        </w:rPr>
        <w:t>二、主要做法</w:t>
      </w:r>
      <w:bookmarkEnd w:id="4"/>
    </w:p>
    <w:p w14:paraId="30E6965F">
      <w:pPr>
        <w:pStyle w:val="3"/>
        <w:ind w:firstLine="562"/>
        <w:rPr>
          <w:rFonts w:ascii="仿宋" w:hAnsi="仿宋"/>
        </w:rPr>
      </w:pPr>
      <w:bookmarkStart w:id="5" w:name="_Toc146022580"/>
      <w:r>
        <w:rPr>
          <w:rFonts w:hint="eastAsia" w:ascii="仿宋" w:hAnsi="仿宋"/>
        </w:rPr>
        <w:t>（一）融合韧性理念，构建韧性电网企业体系</w:t>
      </w:r>
      <w:bookmarkEnd w:id="5"/>
    </w:p>
    <w:p w14:paraId="143C12BC">
      <w:pPr>
        <w:pStyle w:val="26"/>
        <w:ind w:firstLine="562"/>
        <w:rPr>
          <w:rFonts w:ascii="仿宋" w:hAnsi="仿宋"/>
        </w:rPr>
      </w:pPr>
      <w:bookmarkStart w:id="6" w:name="_Toc146022581"/>
      <w:r>
        <w:rPr>
          <w:rFonts w:hint="eastAsia" w:ascii="仿宋" w:hAnsi="仿宋"/>
        </w:rPr>
        <w:t>1、提出并诠释了韧性电网企业概念内涵</w:t>
      </w:r>
      <w:bookmarkEnd w:id="6"/>
    </w:p>
    <w:p w14:paraId="0E50F8E4">
      <w:pPr>
        <w:ind w:firstLine="560"/>
        <w:rPr>
          <w:rFonts w:ascii="仿宋" w:hAnsi="仿宋"/>
        </w:rPr>
      </w:pPr>
      <w:r>
        <w:rPr>
          <w:rFonts w:hint="eastAsia" w:ascii="仿宋" w:hAnsi="仿宋"/>
          <w:lang w:eastAsia="zh-CN"/>
        </w:rPr>
        <w:t>公司</w:t>
      </w:r>
      <w:r>
        <w:rPr>
          <w:rFonts w:hint="eastAsia" w:ascii="仿宋" w:hAnsi="仿宋"/>
        </w:rPr>
        <w:t>引入“韧性”概念，并将其理念应用于电网企业管理，创新性地提出了“韧性电网企业”。主要围绕新型电力系统建设和能源互联网建设落地，以打造韧性电网为坚强物理本体，将韧性理念渗透于电网企业各个领域，通过增强电网企业针对日益增多的变化和突发中断进行预测、准备、应对和适应以维持生存和发展的能力，实现电网企业的电网、经营、运作、资源等集合统一的全局韧性，使电网企业“具备韧性素质、适应韧性发展、支撑韧性电网”。并提出了韧性电网企业“六力特征”内涵，即感知力、应变力、防御力、恢复力、协同力和学习力。</w:t>
      </w:r>
    </w:p>
    <w:p w14:paraId="46510D14">
      <w:pPr>
        <w:pStyle w:val="29"/>
        <w:spacing w:before="240" w:beforeLines="100" w:after="240" w:afterLines="100"/>
      </w:pPr>
      <w:r>
        <w:drawing>
          <wp:inline distT="0" distB="0" distL="0" distR="0">
            <wp:extent cx="5043805" cy="2586355"/>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043805" cy="2586355"/>
                    </a:xfrm>
                    <a:prstGeom prst="rect">
                      <a:avLst/>
                    </a:prstGeom>
                    <a:noFill/>
                    <a:ln>
                      <a:noFill/>
                    </a:ln>
                  </pic:spPr>
                </pic:pic>
              </a:graphicData>
            </a:graphic>
          </wp:inline>
        </w:drawing>
      </w:r>
    </w:p>
    <w:p w14:paraId="6366F588">
      <w:pPr>
        <w:pStyle w:val="5"/>
        <w:rPr>
          <w:rFonts w:ascii="仿宋" w:hAnsi="仿宋"/>
        </w:rPr>
      </w:pPr>
      <w:r>
        <w:rPr>
          <w:rFonts w:hint="eastAsia" w:ascii="仿宋" w:hAnsi="仿宋"/>
        </w:rPr>
        <w:t>图1</w:t>
      </w:r>
      <w:r>
        <w:rPr>
          <w:rFonts w:ascii="仿宋" w:hAnsi="仿宋"/>
        </w:rPr>
        <w:t xml:space="preserve"> </w:t>
      </w:r>
      <w:r>
        <w:rPr>
          <w:rFonts w:hint="eastAsia" w:ascii="仿宋" w:hAnsi="仿宋"/>
        </w:rPr>
        <w:t>韧性电网企业“六力特征”内涵</w:t>
      </w:r>
    </w:p>
    <w:p w14:paraId="5819FE86">
      <w:pPr>
        <w:pStyle w:val="26"/>
        <w:ind w:firstLine="562"/>
        <w:rPr>
          <w:rFonts w:ascii="仿宋" w:hAnsi="仿宋"/>
        </w:rPr>
      </w:pPr>
      <w:bookmarkStart w:id="7" w:name="_Toc146022582"/>
      <w:r>
        <w:rPr>
          <w:rFonts w:hint="eastAsia" w:ascii="仿宋" w:hAnsi="仿宋"/>
        </w:rPr>
        <w:t>2、构建了韧性电网企业建设的体系框架</w:t>
      </w:r>
      <w:bookmarkEnd w:id="7"/>
    </w:p>
    <w:p w14:paraId="0A56BB2B">
      <w:pPr>
        <w:ind w:firstLine="560"/>
        <w:rPr>
          <w:rFonts w:ascii="仿宋" w:hAnsi="仿宋"/>
        </w:rPr>
      </w:pPr>
      <w:r>
        <w:rPr>
          <w:rFonts w:hint="eastAsia" w:ascii="仿宋" w:hAnsi="仿宋"/>
          <w:lang w:eastAsia="zh-CN"/>
        </w:rPr>
        <w:t>公司</w:t>
      </w:r>
      <w:r>
        <w:rPr>
          <w:rFonts w:hint="eastAsia" w:ascii="仿宋" w:hAnsi="仿宋"/>
        </w:rPr>
        <w:t>抓牢电网安全保供和企业稳健经营两条主线，借鉴英国标准协会（B</w:t>
      </w:r>
      <w:r>
        <w:rPr>
          <w:rFonts w:ascii="仿宋" w:hAnsi="仿宋"/>
        </w:rPr>
        <w:t>SI</w:t>
      </w:r>
      <w:r>
        <w:rPr>
          <w:rFonts w:hint="eastAsia" w:ascii="仿宋" w:hAnsi="仿宋"/>
        </w:rPr>
        <w:t>）组织韧性模型，制定了韧性电网企业建设的体系框架。以支撑具有中国特色国际领先的能源互联网企业建设为目标，聚焦坚强性、卓越性、可靠性、可塑性，紧抓电网韧性、经营韧性、运作韧性、资源韧性 “四项重点”，围绕坚强韧性的电网、稳健卓越的领导、因势而变的组织、柔韧勇毅的文化、高效运作的服务体系、敏捷灵活的供应链、坚韧通达的信息网、内部聚力的高可塑性员工队伍、外部协同的生态系统命运共同体等要素，打造具备感知力、应变力、防御力、协同力、恢复力、学习力“六力”特征的城市韧性电网体系，促进电网及企业实现政策变动适应、城市发展适应、国网战略适应、市场变革适应、技术演进适应、安全形势适应“六个适应”。</w:t>
      </w:r>
    </w:p>
    <w:p w14:paraId="58441E7D">
      <w:pPr>
        <w:pStyle w:val="29"/>
        <w:keepNext/>
      </w:pPr>
      <w:r>
        <w:drawing>
          <wp:inline distT="0" distB="0" distL="0" distR="0">
            <wp:extent cx="5539105" cy="2757805"/>
            <wp:effectExtent l="0" t="0" r="0" b="0"/>
            <wp:docPr id="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539105" cy="2757805"/>
                    </a:xfrm>
                    <a:prstGeom prst="rect">
                      <a:avLst/>
                    </a:prstGeom>
                    <a:noFill/>
                    <a:ln>
                      <a:noFill/>
                    </a:ln>
                  </pic:spPr>
                </pic:pic>
              </a:graphicData>
            </a:graphic>
          </wp:inline>
        </w:drawing>
      </w:r>
    </w:p>
    <w:p w14:paraId="31CFBEFE">
      <w:pPr>
        <w:pStyle w:val="5"/>
        <w:rPr>
          <w:rFonts w:ascii="仿宋" w:hAnsi="仿宋"/>
        </w:rPr>
      </w:pPr>
      <w:r>
        <w:rPr>
          <w:rFonts w:hint="eastAsia" w:ascii="仿宋" w:hAnsi="仿宋"/>
        </w:rPr>
        <w:t>图</w:t>
      </w:r>
      <w:r>
        <w:rPr>
          <w:rFonts w:ascii="仿宋" w:hAnsi="仿宋"/>
        </w:rPr>
        <w:fldChar w:fldCharType="begin"/>
      </w:r>
      <w:r>
        <w:rPr>
          <w:rFonts w:ascii="仿宋" w:hAnsi="仿宋"/>
        </w:rPr>
        <w:instrText xml:space="preserve"> </w:instrText>
      </w:r>
      <w:r>
        <w:rPr>
          <w:rFonts w:hint="eastAsia" w:ascii="仿宋" w:hAnsi="仿宋"/>
        </w:rPr>
        <w:instrText xml:space="preserve">SEQ 图 \* ARABIC</w:instrText>
      </w:r>
      <w:r>
        <w:rPr>
          <w:rFonts w:ascii="仿宋" w:hAnsi="仿宋"/>
        </w:rPr>
        <w:instrText xml:space="preserve"> </w:instrText>
      </w:r>
      <w:r>
        <w:rPr>
          <w:rFonts w:ascii="仿宋" w:hAnsi="仿宋"/>
        </w:rPr>
        <w:fldChar w:fldCharType="separate"/>
      </w:r>
      <w:r>
        <w:rPr>
          <w:rFonts w:ascii="仿宋" w:hAnsi="仿宋"/>
        </w:rPr>
        <w:t>2</w:t>
      </w:r>
      <w:r>
        <w:rPr>
          <w:rFonts w:ascii="仿宋" w:hAnsi="仿宋"/>
        </w:rPr>
        <w:fldChar w:fldCharType="end"/>
      </w:r>
      <w:r>
        <w:rPr>
          <w:rFonts w:ascii="仿宋" w:hAnsi="仿宋"/>
        </w:rPr>
        <w:t xml:space="preserve"> </w:t>
      </w:r>
      <w:r>
        <w:rPr>
          <w:rFonts w:hint="eastAsia" w:ascii="仿宋" w:hAnsi="仿宋"/>
          <w:lang w:eastAsia="zh-CN"/>
        </w:rPr>
        <w:t>公司</w:t>
      </w:r>
      <w:r>
        <w:rPr>
          <w:rFonts w:hint="eastAsia" w:ascii="仿宋" w:hAnsi="仿宋"/>
        </w:rPr>
        <w:t>韧性电网企业建设总体架构</w:t>
      </w:r>
    </w:p>
    <w:p w14:paraId="7905FD32">
      <w:pPr>
        <w:pStyle w:val="3"/>
        <w:ind w:firstLine="562"/>
        <w:rPr>
          <w:rFonts w:ascii="仿宋" w:hAnsi="仿宋"/>
        </w:rPr>
      </w:pPr>
      <w:bookmarkStart w:id="8" w:name="_Toc146022583"/>
      <w:r>
        <w:rPr>
          <w:rFonts w:hint="eastAsia" w:ascii="仿宋" w:hAnsi="仿宋"/>
        </w:rPr>
        <w:t>（二）增强电网韧性，</w:t>
      </w:r>
      <w:bookmarkStart w:id="9" w:name="_Hlk142628732"/>
      <w:r>
        <w:rPr>
          <w:rFonts w:hint="eastAsia" w:ascii="仿宋" w:hAnsi="仿宋"/>
        </w:rPr>
        <w:t>筑牢城市运行“生命线”</w:t>
      </w:r>
      <w:bookmarkEnd w:id="8"/>
    </w:p>
    <w:bookmarkEnd w:id="9"/>
    <w:p w14:paraId="273805A3">
      <w:pPr>
        <w:pStyle w:val="26"/>
        <w:ind w:firstLine="562"/>
        <w:rPr>
          <w:rFonts w:ascii="仿宋" w:hAnsi="仿宋"/>
        </w:rPr>
      </w:pPr>
      <w:bookmarkStart w:id="10" w:name="_Toc146022584"/>
      <w:r>
        <w:rPr>
          <w:rFonts w:ascii="仿宋" w:hAnsi="仿宋"/>
        </w:rPr>
        <w:t>1</w:t>
      </w:r>
      <w:r>
        <w:rPr>
          <w:rFonts w:hint="eastAsia" w:ascii="仿宋" w:hAnsi="仿宋"/>
        </w:rPr>
        <w:t>、统筹规划布局，推动韧性电网建设</w:t>
      </w:r>
      <w:bookmarkEnd w:id="10"/>
    </w:p>
    <w:p w14:paraId="7B0294F0">
      <w:pPr>
        <w:ind w:firstLine="560"/>
        <w:rPr>
          <w:rFonts w:ascii="仿宋" w:hAnsi="仿宋"/>
        </w:rPr>
      </w:pPr>
      <w:r>
        <w:rPr>
          <w:rFonts w:hint="eastAsia" w:ascii="仿宋" w:hAnsi="仿宋"/>
          <w:lang w:eastAsia="zh-CN"/>
        </w:rPr>
        <w:t>公司</w:t>
      </w:r>
      <w:r>
        <w:rPr>
          <w:rFonts w:hint="eastAsia" w:ascii="仿宋" w:hAnsi="仿宋"/>
        </w:rPr>
        <w:t>立足</w:t>
      </w:r>
      <w:r>
        <w:rPr>
          <w:rFonts w:hint="eastAsia" w:ascii="仿宋" w:hAnsi="仿宋"/>
          <w:lang w:eastAsia="zh-CN"/>
        </w:rPr>
        <w:t>城市</w:t>
      </w:r>
      <w:r>
        <w:rPr>
          <w:rFonts w:hint="eastAsia" w:ascii="仿宋" w:hAnsi="仿宋"/>
        </w:rPr>
        <w:t>资源禀赋和大受端电网形态，推动构建“能源系统一盘棋”保供新局面，聚焦网架规划建设、安全管理提升、设备高效运行等方面开展电网韧性建设统一规划，编制了《韧性电网建设实施方案》。并结合区域特点和发展需要制定专项韧性建设示范规划，依托北外滩区域积极探索匹配超大型城市中心城区能源需求的高韧性城市电网，形成北外滩国际领先现代智慧配电网示范区规划。聚焦临港新片区开展“三景三力”的韧性配电网建设规划，建设钻石型电网，探索实现电网风险辨识评估、用户用能互动调节、政府-电网-用户联动调节、配网分布自治及协调恢复，确保关键用户不停电、城市安全能级持续提升，打造形成临港新片区韧性配电网“样板间”。聚焦西虹桥商务区打造韧性电网保电示范，全面提升电网感知能力，实现智慧“云端”保电。</w:t>
      </w:r>
    </w:p>
    <w:p w14:paraId="58233192">
      <w:pPr>
        <w:pStyle w:val="29"/>
        <w:keepNext/>
      </w:pPr>
      <w:r>
        <w:drawing>
          <wp:inline distT="0" distB="0" distL="0" distR="0">
            <wp:extent cx="5043805" cy="190055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043805" cy="1900555"/>
                    </a:xfrm>
                    <a:prstGeom prst="rect">
                      <a:avLst/>
                    </a:prstGeom>
                    <a:noFill/>
                    <a:ln>
                      <a:noFill/>
                    </a:ln>
                  </pic:spPr>
                </pic:pic>
              </a:graphicData>
            </a:graphic>
          </wp:inline>
        </w:drawing>
      </w:r>
    </w:p>
    <w:p w14:paraId="2318B5C4">
      <w:pPr>
        <w:pStyle w:val="5"/>
        <w:rPr>
          <w:rFonts w:ascii="仿宋" w:hAnsi="仿宋"/>
        </w:rPr>
      </w:pPr>
      <w:r>
        <w:rPr>
          <w:rFonts w:hint="eastAsia" w:ascii="仿宋" w:hAnsi="仿宋"/>
        </w:rPr>
        <w:t>图</w:t>
      </w:r>
      <w:r>
        <w:rPr>
          <w:rFonts w:ascii="仿宋" w:hAnsi="仿宋"/>
        </w:rPr>
        <w:fldChar w:fldCharType="begin"/>
      </w:r>
      <w:r>
        <w:rPr>
          <w:rFonts w:ascii="仿宋" w:hAnsi="仿宋"/>
        </w:rPr>
        <w:instrText xml:space="preserve"> </w:instrText>
      </w:r>
      <w:r>
        <w:rPr>
          <w:rFonts w:hint="eastAsia" w:ascii="仿宋" w:hAnsi="仿宋"/>
        </w:rPr>
        <w:instrText xml:space="preserve">SEQ 图 \* ARABIC</w:instrText>
      </w:r>
      <w:r>
        <w:rPr>
          <w:rFonts w:ascii="仿宋" w:hAnsi="仿宋"/>
        </w:rPr>
        <w:instrText xml:space="preserve"> </w:instrText>
      </w:r>
      <w:r>
        <w:rPr>
          <w:rFonts w:ascii="仿宋" w:hAnsi="仿宋"/>
        </w:rPr>
        <w:fldChar w:fldCharType="separate"/>
      </w:r>
      <w:r>
        <w:rPr>
          <w:rFonts w:ascii="仿宋" w:hAnsi="仿宋"/>
        </w:rPr>
        <w:t>3</w:t>
      </w:r>
      <w:r>
        <w:rPr>
          <w:rFonts w:ascii="仿宋" w:hAnsi="仿宋"/>
        </w:rPr>
        <w:fldChar w:fldCharType="end"/>
      </w:r>
      <w:r>
        <w:rPr>
          <w:rFonts w:ascii="仿宋" w:hAnsi="仿宋"/>
        </w:rPr>
        <w:t xml:space="preserve"> </w:t>
      </w:r>
      <w:r>
        <w:rPr>
          <w:rFonts w:hint="eastAsia" w:ascii="仿宋" w:hAnsi="仿宋"/>
        </w:rPr>
        <w:t>《</w:t>
      </w:r>
      <w:r>
        <w:rPr>
          <w:rFonts w:hint="eastAsia" w:ascii="仿宋" w:hAnsi="仿宋"/>
          <w:lang w:val="en-US" w:eastAsia="zh-CN"/>
        </w:rPr>
        <w:t>******</w:t>
      </w:r>
      <w:r>
        <w:rPr>
          <w:rFonts w:hint="eastAsia" w:ascii="仿宋" w:hAnsi="仿宋"/>
        </w:rPr>
        <w:t>公司韧性电网建设实施方案》规划重点</w:t>
      </w:r>
    </w:p>
    <w:p w14:paraId="69374E44">
      <w:pPr>
        <w:pStyle w:val="26"/>
        <w:ind w:firstLine="562"/>
        <w:rPr>
          <w:rFonts w:ascii="仿宋" w:hAnsi="仿宋"/>
        </w:rPr>
      </w:pPr>
      <w:bookmarkStart w:id="11" w:name="_Toc146022585"/>
      <w:r>
        <w:rPr>
          <w:rFonts w:ascii="仿宋" w:hAnsi="仿宋"/>
        </w:rPr>
        <w:t>2</w:t>
      </w:r>
      <w:r>
        <w:rPr>
          <w:rFonts w:hint="eastAsia" w:ascii="仿宋" w:hAnsi="仿宋"/>
        </w:rPr>
        <w:t>、技术集群攻关，引领电网韧性突破</w:t>
      </w:r>
      <w:bookmarkEnd w:id="11"/>
    </w:p>
    <w:p w14:paraId="41138763">
      <w:pPr>
        <w:ind w:firstLine="560"/>
        <w:rPr>
          <w:rFonts w:ascii="仿宋" w:hAnsi="仿宋"/>
          <w:color w:val="FF0000"/>
        </w:rPr>
      </w:pPr>
      <w:r>
        <w:rPr>
          <w:rFonts w:hint="eastAsia" w:ascii="仿宋" w:hAnsi="仿宋"/>
        </w:rPr>
        <w:t>推动能源科技实现高水平自立自强，是把握新一轮科技革命和保障国家能源安全的必由之路。打造“打不垮”和“不停电”的韧性电网，需要发挥科技创新的引领作用。</w:t>
      </w:r>
      <w:r>
        <w:rPr>
          <w:rFonts w:hint="eastAsia" w:ascii="仿宋" w:hAnsi="仿宋"/>
          <w:lang w:val="en-US" w:eastAsia="zh-CN"/>
        </w:rPr>
        <w:t>******</w:t>
      </w:r>
      <w:r>
        <w:rPr>
          <w:rFonts w:hint="eastAsia" w:ascii="仿宋" w:hAnsi="仿宋"/>
        </w:rPr>
        <w:t>创新性地构建了韧性电网“六力”技术体系，同步开展了韧性电网技术领域的技术攻关布局、技术标准布局和专利布局，围绕态势感知、配电网同步量测、云-边协同的韧性电网故障态势感知技术、钻石型电网、黑启动等关键技术开展集群攻关，快速占领韧性电网技术新高地，以技术创新引领韧性电网建设。</w:t>
      </w:r>
    </w:p>
    <w:p w14:paraId="73666961">
      <w:pPr>
        <w:pStyle w:val="29"/>
        <w:keepNext/>
      </w:pPr>
      <w:r>
        <w:drawing>
          <wp:inline distT="0" distB="0" distL="0" distR="0">
            <wp:extent cx="5038725" cy="2386330"/>
            <wp:effectExtent l="0" t="0" r="0" b="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038725" cy="2386330"/>
                    </a:xfrm>
                    <a:prstGeom prst="rect">
                      <a:avLst/>
                    </a:prstGeom>
                    <a:noFill/>
                    <a:ln>
                      <a:noFill/>
                    </a:ln>
                  </pic:spPr>
                </pic:pic>
              </a:graphicData>
            </a:graphic>
          </wp:inline>
        </w:drawing>
      </w:r>
    </w:p>
    <w:p w14:paraId="7844B193">
      <w:pPr>
        <w:pStyle w:val="5"/>
        <w:ind w:firstLine="482"/>
        <w:rPr>
          <w:rFonts w:ascii="仿宋" w:hAnsi="仿宋"/>
        </w:rPr>
      </w:pPr>
      <w:r>
        <w:rPr>
          <w:rFonts w:hint="eastAsia" w:ascii="仿宋" w:hAnsi="仿宋"/>
        </w:rPr>
        <w:t>图</w:t>
      </w:r>
      <w:r>
        <w:rPr>
          <w:rFonts w:ascii="仿宋" w:hAnsi="仿宋"/>
        </w:rPr>
        <w:t xml:space="preserve">4 </w:t>
      </w:r>
      <w:r>
        <w:rPr>
          <w:rFonts w:hint="eastAsia" w:ascii="仿宋" w:hAnsi="仿宋"/>
        </w:rPr>
        <w:t>电网韧性技术集群攻关体系</w:t>
      </w:r>
    </w:p>
    <w:p w14:paraId="34A7AE5B">
      <w:pPr>
        <w:pStyle w:val="26"/>
        <w:ind w:firstLine="562"/>
        <w:rPr>
          <w:rFonts w:ascii="仿宋" w:hAnsi="仿宋"/>
        </w:rPr>
      </w:pPr>
      <w:bookmarkStart w:id="12" w:name="_Toc146022586"/>
      <w:r>
        <w:rPr>
          <w:rFonts w:hint="eastAsia" w:ascii="仿宋" w:hAnsi="仿宋"/>
        </w:rPr>
        <w:t>3、围绕坚强可靠，建设“打不垮”主干网</w:t>
      </w:r>
      <w:bookmarkEnd w:id="12"/>
    </w:p>
    <w:p w14:paraId="0060F454">
      <w:pPr>
        <w:ind w:firstLine="560"/>
        <w:rPr>
          <w:rFonts w:ascii="仿宋" w:hAnsi="仿宋"/>
        </w:rPr>
      </w:pPr>
      <w:r>
        <w:rPr>
          <w:rFonts w:hint="eastAsia" w:ascii="仿宋" w:hAnsi="仿宋"/>
          <w:lang w:eastAsia="zh-CN"/>
        </w:rPr>
        <w:t>城市</w:t>
      </w:r>
      <w:r>
        <w:rPr>
          <w:rFonts w:hint="eastAsia" w:ascii="仿宋" w:hAnsi="仿宋"/>
        </w:rPr>
        <w:t>电网是典型的城市受端电网，保障外电入沪供应顺畅是保障“不停电”的关键。</w:t>
      </w:r>
      <w:r>
        <w:rPr>
          <w:rFonts w:hint="eastAsia" w:ascii="仿宋" w:hAnsi="仿宋"/>
          <w:lang w:eastAsia="zh-CN"/>
        </w:rPr>
        <w:t>公司</w:t>
      </w:r>
      <w:r>
        <w:rPr>
          <w:rFonts w:hint="eastAsia" w:ascii="仿宋" w:hAnsi="仿宋"/>
        </w:rPr>
        <w:t>加快落实现有外来电送电计划，争取增量外来电资源，加快推进外电入沪等重大项目，提升外电入沪可靠性，在现有“五交四直”9条外来电通道的基础上，进一步</w:t>
      </w:r>
      <w:bookmarkStart w:id="13" w:name="_Hlk142629354"/>
      <w:r>
        <w:rPr>
          <w:rFonts w:hint="eastAsia" w:ascii="仿宋" w:hAnsi="仿宋"/>
        </w:rPr>
        <w:t>加快“双环、十一通道”网架建设</w:t>
      </w:r>
      <w:bookmarkEnd w:id="13"/>
      <w:r>
        <w:rPr>
          <w:rFonts w:hint="eastAsia" w:ascii="仿宋" w:hAnsi="仿宋"/>
        </w:rPr>
        <w:t>，增强主网架互联互通和受电能力，确保有电“送的进、落得下、用得好”。同时全力做好现有“五交四直”外来电通道在</w:t>
      </w:r>
      <w:r>
        <w:rPr>
          <w:rFonts w:hint="eastAsia" w:ascii="仿宋" w:hAnsi="仿宋"/>
          <w:lang w:eastAsia="zh-CN"/>
        </w:rPr>
        <w:t>城市</w:t>
      </w:r>
      <w:r>
        <w:rPr>
          <w:rFonts w:hint="eastAsia" w:ascii="仿宋" w:hAnsi="仿宋"/>
        </w:rPr>
        <w:t>区域内线路的运维，推广应用输电线路通道可视化在线监控系统，实现</w:t>
      </w:r>
      <w:r>
        <w:rPr>
          <w:rFonts w:hint="eastAsia" w:ascii="仿宋" w:hAnsi="仿宋"/>
          <w:lang w:eastAsia="zh-CN"/>
        </w:rPr>
        <w:t>城市</w:t>
      </w:r>
      <w:r>
        <w:rPr>
          <w:rFonts w:hint="eastAsia" w:ascii="仿宋" w:hAnsi="仿宋"/>
        </w:rPr>
        <w:t>全市密集输电通道全覆盖，实施远程24小时集中监控，形成“立体巡检+集中监控+网格化处置”运维保障，全面强化特高压受端、跨省跨区联络线、重要电源送出线路、重要（密集）输电通道等运维保障。</w:t>
      </w:r>
    </w:p>
    <w:p w14:paraId="2AA20712">
      <w:pPr>
        <w:pStyle w:val="26"/>
        <w:ind w:firstLine="562"/>
        <w:rPr>
          <w:rFonts w:ascii="仿宋" w:hAnsi="仿宋"/>
        </w:rPr>
      </w:pPr>
      <w:bookmarkStart w:id="14" w:name="_Toc146022587"/>
      <w:r>
        <w:rPr>
          <w:rFonts w:hint="eastAsia" w:ascii="仿宋" w:hAnsi="仿宋"/>
        </w:rPr>
        <w:t>4、聚焦灵活互动，打造“不停电”配电网</w:t>
      </w:r>
      <w:bookmarkEnd w:id="14"/>
    </w:p>
    <w:p w14:paraId="7BC06389">
      <w:pPr>
        <w:ind w:firstLine="560"/>
        <w:rPr>
          <w:rFonts w:ascii="仿宋" w:hAnsi="仿宋"/>
        </w:rPr>
      </w:pPr>
      <w:r>
        <w:rPr>
          <w:rFonts w:hint="eastAsia" w:ascii="仿宋" w:hAnsi="仿宋"/>
          <w:lang w:eastAsia="zh-CN"/>
        </w:rPr>
        <w:t>公司</w:t>
      </w:r>
      <w:r>
        <w:rPr>
          <w:rFonts w:hint="eastAsia" w:ascii="仿宋" w:hAnsi="仿宋"/>
        </w:rPr>
        <w:t>加快打造“不停电”的国际领先配电网，积极发展110千伏链式结构公共电网，优化完善35千伏双侧电源供电。加强需求侧管理，坚持“需求响应优先、有序用电保底、节约用电助力”，深化精准负荷控制系统应用，持续扩大可调节负荷规模。在西虹桥商务区实施“六零三确保”保电标准，确保实现“电网设备零缺陷、重要负荷零闪动、供电服务零投诉、安保防疫零事件、人员工作零差错、网络信息安全零漏洞”，“确保展区活动场馆供电万无一失、确保城市基础设施供电万无一失、确保全市生产生活用电万无一失”。</w:t>
      </w:r>
    </w:p>
    <w:p w14:paraId="29ECBEAF">
      <w:pPr>
        <w:pStyle w:val="3"/>
        <w:ind w:firstLine="562"/>
        <w:rPr>
          <w:rFonts w:ascii="仿宋" w:hAnsi="仿宋"/>
        </w:rPr>
      </w:pPr>
      <w:bookmarkStart w:id="15" w:name="_Toc146022588"/>
      <w:r>
        <w:rPr>
          <w:rFonts w:hint="eastAsia" w:ascii="仿宋" w:hAnsi="仿宋"/>
        </w:rPr>
        <w:t>（三）提升经营韧性，推动企业稳健卓越发展</w:t>
      </w:r>
      <w:bookmarkEnd w:id="15"/>
    </w:p>
    <w:p w14:paraId="499CE542">
      <w:pPr>
        <w:pStyle w:val="26"/>
        <w:ind w:firstLine="562"/>
        <w:rPr>
          <w:rFonts w:ascii="仿宋" w:hAnsi="仿宋"/>
        </w:rPr>
      </w:pPr>
      <w:bookmarkStart w:id="16" w:name="_Toc146022589"/>
      <w:r>
        <w:rPr>
          <w:rFonts w:hint="eastAsia" w:ascii="仿宋" w:hAnsi="仿宋"/>
        </w:rPr>
        <w:t>1、强化稳健卓越的领导，提高系统风险应对能力</w:t>
      </w:r>
      <w:bookmarkEnd w:id="16"/>
    </w:p>
    <w:p w14:paraId="6F996D56">
      <w:pPr>
        <w:ind w:firstLine="560"/>
        <w:rPr>
          <w:rFonts w:ascii="仿宋" w:hAnsi="仿宋"/>
        </w:rPr>
      </w:pPr>
      <w:r>
        <w:rPr>
          <w:rFonts w:hint="eastAsia" w:ascii="仿宋" w:hAnsi="仿宋"/>
        </w:rPr>
        <w:t>坚持稳健经营和卓越发展，以压降风险为目标，深化精准投资策略。</w:t>
      </w:r>
      <w:r>
        <w:rPr>
          <w:rFonts w:hint="eastAsia" w:ascii="仿宋" w:hAnsi="仿宋"/>
          <w:lang w:eastAsia="zh-CN"/>
        </w:rPr>
        <w:t>公司</w:t>
      </w:r>
      <w:r>
        <w:rPr>
          <w:rFonts w:hint="eastAsia" w:ascii="仿宋" w:hAnsi="仿宋"/>
        </w:rPr>
        <w:t>领导层统一了韧性经营理念，审慎开展经营决策，推动企业高质量发展，以深入调研、审慎决策、强化风险管控为依托，防范冒进投资风险。守合规底线，进一步完善决策及落地闭环，加强多目标权衡、态势研判、决策论证和监督调控，加强综合计划和预算过程管控，构建新型预算核算一体化管理体系，精准开展投资管理，增强电网建设改造的针对性和统一性。筑牢电力保供基本盘，加强电力供需形势研判，强化电网运行安全，强化需求侧管理，提升规模化负荷资源统一管理、精准调控。</w:t>
      </w:r>
    </w:p>
    <w:p w14:paraId="3394EF78">
      <w:pPr>
        <w:pStyle w:val="26"/>
        <w:ind w:firstLine="562"/>
        <w:rPr>
          <w:rFonts w:ascii="仿宋" w:hAnsi="仿宋"/>
        </w:rPr>
      </w:pPr>
      <w:bookmarkStart w:id="17" w:name="_Toc146022590"/>
      <w:r>
        <w:rPr>
          <w:rFonts w:hint="eastAsia" w:ascii="仿宋" w:hAnsi="仿宋"/>
        </w:rPr>
        <w:t>2、建立因势而变的组织，增强企业灵活应变能力</w:t>
      </w:r>
      <w:bookmarkEnd w:id="17"/>
    </w:p>
    <w:p w14:paraId="3C72739C">
      <w:pPr>
        <w:ind w:firstLine="560"/>
        <w:rPr>
          <w:rFonts w:ascii="仿宋" w:hAnsi="仿宋"/>
        </w:rPr>
      </w:pPr>
      <w:r>
        <w:rPr>
          <w:rFonts w:hint="eastAsia" w:ascii="仿宋" w:hAnsi="仿宋"/>
        </w:rPr>
        <w:t>通过灵活配置责、权、利关系，提升对日益增多的变化和突发中断，提升预测、准备、应对和适应以维持运行和发展的能力，强化柔性变异和末端融合，迅速适应动态变化的竞争条件和外部环境。一是面对突发事件通过职能的切分和重组，组建临时性团队、柔性组织。二是针对组织是与突发事件交锋第一线，通过充分授权、重塑流程，强化业务末端、基层组织协同。</w:t>
      </w:r>
      <w:r>
        <w:rPr>
          <w:rFonts w:hint="eastAsia" w:ascii="仿宋" w:hAnsi="仿宋"/>
          <w:lang w:eastAsia="zh-CN"/>
        </w:rPr>
        <w:t>公司</w:t>
      </w:r>
      <w:r>
        <w:rPr>
          <w:rFonts w:hint="eastAsia" w:ascii="仿宋" w:hAnsi="仿宋"/>
        </w:rPr>
        <w:t>成立“配电网管理办公室”，构建“一办两中心”组织体系，深化“一盘棋”“一体化”思维，打造“规建运”一体化管理模式。聚焦配电网存在的系统性、全局性问题，整合各部门有关配电网管理职能，实行块状管理，集中优势资源全力推进韧性配电网建设。</w:t>
      </w:r>
    </w:p>
    <w:p w14:paraId="03BE4EB6">
      <w:pPr>
        <w:pStyle w:val="29"/>
      </w:pPr>
      <w:r>
        <w:t xml:space="preserve"> </w:t>
      </w:r>
      <w:r>
        <w:drawing>
          <wp:inline distT="0" distB="0" distL="0" distR="0">
            <wp:extent cx="4129405" cy="2481580"/>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129405" cy="2481580"/>
                    </a:xfrm>
                    <a:prstGeom prst="rect">
                      <a:avLst/>
                    </a:prstGeom>
                    <a:noFill/>
                    <a:ln>
                      <a:noFill/>
                    </a:ln>
                  </pic:spPr>
                </pic:pic>
              </a:graphicData>
            </a:graphic>
          </wp:inline>
        </w:drawing>
      </w:r>
    </w:p>
    <w:p w14:paraId="4E2F8141">
      <w:pPr>
        <w:pStyle w:val="5"/>
        <w:ind w:firstLine="482"/>
        <w:rPr>
          <w:rFonts w:ascii="仿宋" w:hAnsi="仿宋"/>
        </w:rPr>
      </w:pPr>
      <w:r>
        <w:rPr>
          <w:rFonts w:hint="eastAsia" w:ascii="仿宋" w:hAnsi="仿宋"/>
        </w:rPr>
        <w:t>图</w:t>
      </w:r>
      <w:r>
        <w:rPr>
          <w:rFonts w:ascii="仿宋" w:hAnsi="仿宋"/>
        </w:rPr>
        <w:t>5</w:t>
      </w:r>
      <w:r>
        <w:rPr>
          <w:rFonts w:hint="eastAsia" w:ascii="仿宋" w:hAnsi="仿宋"/>
        </w:rPr>
        <w:t xml:space="preserve"> 因势而变的组织策略示意</w:t>
      </w:r>
    </w:p>
    <w:p w14:paraId="6EA942B3">
      <w:pPr>
        <w:pStyle w:val="26"/>
        <w:ind w:firstLine="562"/>
        <w:rPr>
          <w:rFonts w:ascii="仿宋" w:hAnsi="仿宋"/>
        </w:rPr>
      </w:pPr>
      <w:bookmarkStart w:id="18" w:name="_Toc146022591"/>
      <w:r>
        <w:rPr>
          <w:rFonts w:hint="eastAsia" w:ascii="仿宋" w:hAnsi="仿宋"/>
        </w:rPr>
        <w:t>3、培养柔韧勇毅的文化，提升企业应对危机能力</w:t>
      </w:r>
      <w:bookmarkEnd w:id="18"/>
    </w:p>
    <w:p w14:paraId="74A43522">
      <w:pPr>
        <w:ind w:firstLine="560"/>
        <w:rPr>
          <w:rFonts w:ascii="仿宋" w:hAnsi="仿宋"/>
        </w:rPr>
      </w:pPr>
      <w:r>
        <w:rPr>
          <w:rFonts w:hint="eastAsia" w:ascii="仿宋" w:hAnsi="仿宋"/>
        </w:rPr>
        <w:t>凝练韧性文化，促进韧性文化生根。</w:t>
      </w:r>
      <w:r>
        <w:rPr>
          <w:rFonts w:hint="eastAsia" w:ascii="仿宋" w:hAnsi="仿宋"/>
          <w:lang w:eastAsia="zh-CN"/>
        </w:rPr>
        <w:t>公司</w:t>
      </w:r>
      <w:r>
        <w:rPr>
          <w:rFonts w:hint="eastAsia" w:ascii="仿宋" w:hAnsi="仿宋"/>
        </w:rPr>
        <w:t>围绕韧性电网企业内涵和六大特征，提炼形成以“三大韧性愿景，六大韧性价值观”的韧性文化，指引和感召企业全体员工，预判风险、灵活应对、筑牢防线，从容不迫的面对内外部环境变化带来的风险和威胁。推动文化赋能业务，有序开展韧性文化融入工程，多种举措构建韧性文化氛围，打造一批“韧性文化示范点”，提炼一批“韧性文化建设案例”，形成“韧性文化+”赋能体系，以韧性文化促进电网企业安全保供能力整体提升。</w:t>
      </w:r>
    </w:p>
    <w:p w14:paraId="326D5439">
      <w:pPr>
        <w:pStyle w:val="29"/>
      </w:pPr>
      <w:r>
        <w:drawing>
          <wp:inline distT="0" distB="0" distL="0" distR="0">
            <wp:extent cx="4300855" cy="2209800"/>
            <wp:effectExtent l="0" t="0" r="0" b="0"/>
            <wp:docPr id="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300855" cy="2209800"/>
                    </a:xfrm>
                    <a:prstGeom prst="rect">
                      <a:avLst/>
                    </a:prstGeom>
                    <a:noFill/>
                    <a:ln>
                      <a:noFill/>
                    </a:ln>
                  </pic:spPr>
                </pic:pic>
              </a:graphicData>
            </a:graphic>
          </wp:inline>
        </w:drawing>
      </w:r>
    </w:p>
    <w:p w14:paraId="7B2DA178">
      <w:pPr>
        <w:pStyle w:val="5"/>
        <w:ind w:firstLine="482"/>
        <w:rPr>
          <w:rFonts w:ascii="仿宋" w:hAnsi="仿宋"/>
        </w:rPr>
      </w:pPr>
      <w:r>
        <w:rPr>
          <w:rFonts w:hint="eastAsia" w:ascii="仿宋" w:hAnsi="仿宋"/>
        </w:rPr>
        <w:t>图</w:t>
      </w:r>
      <w:r>
        <w:rPr>
          <w:rFonts w:ascii="仿宋" w:hAnsi="仿宋"/>
        </w:rPr>
        <w:t>6</w:t>
      </w:r>
      <w:r>
        <w:rPr>
          <w:rFonts w:hint="eastAsia" w:ascii="仿宋" w:hAnsi="仿宋"/>
        </w:rPr>
        <w:t xml:space="preserve"> 三大韧性愿景，六大韧性价值观</w:t>
      </w:r>
    </w:p>
    <w:p w14:paraId="2922647C">
      <w:pPr>
        <w:pStyle w:val="3"/>
        <w:ind w:firstLine="562"/>
        <w:rPr>
          <w:rFonts w:ascii="仿宋" w:hAnsi="仿宋"/>
        </w:rPr>
      </w:pPr>
      <w:bookmarkStart w:id="19" w:name="_Toc146022592"/>
      <w:r>
        <w:rPr>
          <w:rFonts w:hint="eastAsia" w:ascii="仿宋" w:hAnsi="仿宋"/>
        </w:rPr>
        <w:t>（四）强化运作韧性，建立高效运作服务体系</w:t>
      </w:r>
      <w:bookmarkEnd w:id="19"/>
    </w:p>
    <w:p w14:paraId="6975ACD3">
      <w:pPr>
        <w:pStyle w:val="26"/>
        <w:ind w:firstLine="562"/>
        <w:rPr>
          <w:rFonts w:ascii="仿宋" w:hAnsi="仿宋"/>
        </w:rPr>
      </w:pPr>
      <w:bookmarkStart w:id="20" w:name="_Toc146022593"/>
      <w:r>
        <w:rPr>
          <w:rFonts w:hint="eastAsia" w:ascii="仿宋" w:hAnsi="仿宋"/>
        </w:rPr>
        <w:t>1、构建高效运作服务体系，提升风险应对能力</w:t>
      </w:r>
      <w:bookmarkEnd w:id="20"/>
    </w:p>
    <w:p w14:paraId="20C40216">
      <w:pPr>
        <w:ind w:firstLine="560"/>
        <w:rPr>
          <w:rFonts w:ascii="仿宋" w:hAnsi="仿宋"/>
          <w:highlight w:val="yellow"/>
        </w:rPr>
      </w:pPr>
      <w:r>
        <w:rPr>
          <w:rFonts w:hint="eastAsia" w:ascii="仿宋" w:hAnsi="仿宋"/>
        </w:rPr>
        <w:t>实施基建“六精四化”提升，以高水平工程建设构筑电网韧性牢固根基，有效提升计划执行准确率、风险精益管控率和绿色优质达标率。实施运维精益化改进，</w:t>
      </w:r>
      <w:r>
        <w:rPr>
          <w:rFonts w:hint="eastAsia" w:ascii="仿宋" w:hAnsi="仿宋"/>
          <w:color w:val="000000"/>
        </w:rPr>
        <w:t>强化“网格化”抢修管理，科学调配部署抢修人员，增加驻点抢修力量部署，充分做好应急资源配置和调配准备，依托智能调度系统精准监控热点区域设备运行情况，开设电网运行状况多维分析预警，</w:t>
      </w:r>
      <w:r>
        <w:rPr>
          <w:rFonts w:ascii="仿宋" w:hAnsi="仿宋"/>
          <w:color w:val="000000"/>
        </w:rPr>
        <w:t>提前研判薄弱环节和瓶颈问题，</w:t>
      </w:r>
      <w:r>
        <w:rPr>
          <w:rFonts w:hint="eastAsia" w:ascii="仿宋" w:hAnsi="仿宋"/>
          <w:color w:val="000000"/>
        </w:rPr>
        <w:t>提升运行维护针对性和有效性</w:t>
      </w:r>
      <w:r>
        <w:rPr>
          <w:rFonts w:ascii="仿宋" w:hAnsi="仿宋"/>
          <w:color w:val="000000"/>
        </w:rPr>
        <w:t>。</w:t>
      </w:r>
      <w:r>
        <w:rPr>
          <w:rFonts w:hint="eastAsia" w:ascii="仿宋" w:hAnsi="仿宋"/>
          <w:color w:val="000000"/>
        </w:rPr>
        <w:t>加快实施运维数字化转型，推广应用输电线路通道可视化在线监控系统，配合无人机自主巡视、红外热像测温仪检测等方式，实施远程24小时集中监控，以科技创新赋能运维。持续优化营商环境，创新推出全周期“四早”主动办电服务，打造“获得电力”新标杆，进一步压减办电时间、简化办电流程、降低办电成本。</w:t>
      </w:r>
      <w:r>
        <w:rPr>
          <w:rFonts w:hint="eastAsia" w:ascii="仿宋" w:hAnsi="仿宋"/>
        </w:rPr>
        <w:t>先后打造了“‘电力能源管家’数智化服务”“高质量供电服务”“公交充电站运维服务”“不停电作业”“电缆建设和运维”等七项“</w:t>
      </w:r>
      <w:r>
        <w:rPr>
          <w:rFonts w:hint="eastAsia" w:ascii="仿宋" w:hAnsi="仿宋"/>
          <w:lang w:eastAsia="zh-CN"/>
        </w:rPr>
        <w:t>城市</w:t>
      </w:r>
      <w:r>
        <w:rPr>
          <w:rFonts w:hint="eastAsia" w:ascii="仿宋" w:hAnsi="仿宋"/>
        </w:rPr>
        <w:t>品牌”。</w:t>
      </w:r>
    </w:p>
    <w:p w14:paraId="7E3480F9">
      <w:pPr>
        <w:pStyle w:val="26"/>
        <w:ind w:firstLine="562"/>
        <w:rPr>
          <w:rFonts w:ascii="仿宋" w:hAnsi="仿宋"/>
        </w:rPr>
      </w:pPr>
      <w:bookmarkStart w:id="21" w:name="_Toc146022594"/>
      <w:r>
        <w:rPr>
          <w:rFonts w:ascii="仿宋" w:hAnsi="仿宋"/>
        </w:rPr>
        <w:t>2</w:t>
      </w:r>
      <w:r>
        <w:rPr>
          <w:rFonts w:hint="eastAsia" w:ascii="仿宋" w:hAnsi="仿宋"/>
        </w:rPr>
        <w:t>、打造敏捷灵活的供应链，保障物资供应安全</w:t>
      </w:r>
      <w:bookmarkEnd w:id="21"/>
    </w:p>
    <w:p w14:paraId="6009A35D">
      <w:pPr>
        <w:ind w:firstLine="560"/>
        <w:rPr>
          <w:rFonts w:ascii="仿宋" w:hAnsi="仿宋"/>
        </w:rPr>
      </w:pPr>
      <w:r>
        <w:rPr>
          <w:rFonts w:hint="eastAsia" w:ascii="仿宋" w:hAnsi="仿宋"/>
        </w:rPr>
        <w:t>构建面向三大主要场景，以“六力”提升为导向，依托供应链数字化转型建设，实施“供应链计划、数据价值挖掘、供应商多元化、生产和库存缓冲”四项策略为核心措施，全面增强电网企业供应链韧性。一是加强采购需求科学统筹，深化物资需求精准预测与计划，实现供需精准对接，同时依据实时风险动态调整供应计划。二是实施生产和库存缓冲，通过保持冗余建立储备库存，通过分散仓储实现损害隔离和就近供应，通过智能调拨实现多仓协同和库存共济，提高对于突发情况下供应链中断风险的应对能力。三是实现供应商多元化，聚焦新型电力系统“卡脖子”技术和装备，面扩大供应商数量和类型，实现“选择多元化”，协同供应商从源头掌控关键核心技术、培育国产化产品，促进整个产业链的“生态多元化”。四是以数字化驱动供应链韧性提升，加大数字化供应链建设力度，全面整合供应链端到端数据，深入挖掘数据资源价值，对供应链异常数据主动预警，防范供应链风险。</w:t>
      </w:r>
    </w:p>
    <w:p w14:paraId="643FE7A4">
      <w:pPr>
        <w:spacing w:line="240" w:lineRule="auto"/>
        <w:ind w:firstLine="0" w:firstLineChars="0"/>
        <w:jc w:val="center"/>
      </w:pPr>
      <w:r>
        <w:drawing>
          <wp:inline distT="0" distB="0" distL="0" distR="0">
            <wp:extent cx="5139055" cy="3091180"/>
            <wp:effectExtent l="0" t="0" r="0" b="0"/>
            <wp:docPr id="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139055" cy="3091180"/>
                    </a:xfrm>
                    <a:prstGeom prst="rect">
                      <a:avLst/>
                    </a:prstGeom>
                    <a:noFill/>
                    <a:ln>
                      <a:noFill/>
                    </a:ln>
                  </pic:spPr>
                </pic:pic>
              </a:graphicData>
            </a:graphic>
          </wp:inline>
        </w:drawing>
      </w:r>
    </w:p>
    <w:p w14:paraId="717481DE">
      <w:pPr>
        <w:pStyle w:val="5"/>
        <w:ind w:firstLine="560"/>
        <w:rPr>
          <w:rFonts w:ascii="仿宋" w:hAnsi="仿宋"/>
        </w:rPr>
      </w:pPr>
      <w:r>
        <w:rPr>
          <w:rFonts w:hint="eastAsia" w:ascii="仿宋" w:hAnsi="仿宋"/>
        </w:rPr>
        <w:t>图</w:t>
      </w:r>
      <w:r>
        <w:rPr>
          <w:rFonts w:ascii="仿宋" w:hAnsi="仿宋"/>
        </w:rPr>
        <w:t>7</w:t>
      </w:r>
      <w:r>
        <w:rPr>
          <w:rFonts w:hint="eastAsia" w:ascii="仿宋" w:hAnsi="仿宋"/>
        </w:rPr>
        <w:t xml:space="preserve"> 提高供应链韧性的四大策略</w:t>
      </w:r>
    </w:p>
    <w:p w14:paraId="6264A29C">
      <w:pPr>
        <w:pStyle w:val="26"/>
        <w:ind w:firstLine="562"/>
        <w:rPr>
          <w:rFonts w:ascii="仿宋" w:hAnsi="仿宋"/>
        </w:rPr>
      </w:pPr>
      <w:bookmarkStart w:id="22" w:name="_Toc146022595"/>
      <w:r>
        <w:rPr>
          <w:rFonts w:ascii="仿宋" w:hAnsi="仿宋"/>
        </w:rPr>
        <w:t>3</w:t>
      </w:r>
      <w:r>
        <w:rPr>
          <w:rFonts w:hint="eastAsia" w:ascii="仿宋" w:hAnsi="仿宋"/>
        </w:rPr>
        <w:t>、建设坚韧通达的信息网，建立信息韧性防线</w:t>
      </w:r>
      <w:bookmarkEnd w:id="22"/>
    </w:p>
    <w:p w14:paraId="4CC1120E">
      <w:pPr>
        <w:ind w:firstLine="560"/>
        <w:rPr>
          <w:rFonts w:ascii="仿宋" w:hAnsi="仿宋"/>
        </w:rPr>
      </w:pPr>
      <w:r>
        <w:rPr>
          <w:rFonts w:hint="eastAsia" w:ascii="仿宋" w:hAnsi="仿宋"/>
        </w:rPr>
        <w:t>以先进架构筑牢信息韧性之基，构建新型电力系统网络安全防护体系，深化实施通信能力提升三年行动，建成网络安全监控大厅，部署一体化网络安全监测平台，全方位强化感知平台、数据防护、协同防御、云上服务等，网安能力有效增强。以专业团队夯实信息韧性阵地，建立专业结构完备、技能互补的网络安全团队，加强网络安全感知、排查、防护、演练、培训、协作等各项工作，有效抵御和处理各种突发事件，保障信息韧性。以全员管控打造信息韧性防线。通过增强动全体员工的信息安全意识、调动全体员工主动捍卫信息安全的积极性，可以构筑信息韧性的坚强防线。</w:t>
      </w:r>
    </w:p>
    <w:p w14:paraId="29EBF552">
      <w:pPr>
        <w:spacing w:line="240" w:lineRule="auto"/>
        <w:ind w:firstLine="0" w:firstLineChars="0"/>
        <w:jc w:val="center"/>
      </w:pPr>
      <w:r>
        <w:drawing>
          <wp:inline distT="0" distB="0" distL="0" distR="0">
            <wp:extent cx="5543550" cy="2562225"/>
            <wp:effectExtent l="0" t="0" r="0" b="0"/>
            <wp:docPr id="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543550" cy="2562225"/>
                    </a:xfrm>
                    <a:prstGeom prst="rect">
                      <a:avLst/>
                    </a:prstGeom>
                    <a:noFill/>
                    <a:ln>
                      <a:noFill/>
                    </a:ln>
                  </pic:spPr>
                </pic:pic>
              </a:graphicData>
            </a:graphic>
          </wp:inline>
        </w:drawing>
      </w:r>
    </w:p>
    <w:p w14:paraId="56862B96">
      <w:pPr>
        <w:pStyle w:val="5"/>
        <w:rPr>
          <w:rFonts w:ascii="仿宋" w:hAnsi="仿宋"/>
        </w:rPr>
      </w:pPr>
      <w:r>
        <w:rPr>
          <w:rFonts w:hint="eastAsia" w:ascii="仿宋" w:hAnsi="仿宋"/>
        </w:rPr>
        <w:t>图</w:t>
      </w:r>
      <w:r>
        <w:rPr>
          <w:rFonts w:ascii="仿宋" w:hAnsi="仿宋"/>
        </w:rPr>
        <w:t>8</w:t>
      </w:r>
      <w:r>
        <w:rPr>
          <w:rFonts w:hint="eastAsia" w:ascii="仿宋" w:hAnsi="仿宋"/>
        </w:rPr>
        <w:t xml:space="preserve"> 信息韧性提升举措</w:t>
      </w:r>
    </w:p>
    <w:p w14:paraId="7068B4C7">
      <w:pPr>
        <w:pStyle w:val="26"/>
        <w:ind w:firstLine="562"/>
        <w:rPr>
          <w:rFonts w:ascii="仿宋" w:hAnsi="仿宋"/>
        </w:rPr>
      </w:pPr>
      <w:bookmarkStart w:id="23" w:name="_Toc146022596"/>
      <w:r>
        <w:rPr>
          <w:rFonts w:ascii="仿宋" w:hAnsi="仿宋"/>
        </w:rPr>
        <w:t>4</w:t>
      </w:r>
      <w:r>
        <w:rPr>
          <w:rFonts w:hint="eastAsia" w:ascii="仿宋" w:hAnsi="仿宋"/>
        </w:rPr>
        <w:t>、健全重大风险应对机制，增强应急保障能力</w:t>
      </w:r>
      <w:bookmarkEnd w:id="23"/>
    </w:p>
    <w:p w14:paraId="07AB9596">
      <w:pPr>
        <w:ind w:firstLine="560"/>
        <w:rPr>
          <w:rFonts w:ascii="仿宋" w:hAnsi="仿宋"/>
          <w:color w:val="000000"/>
        </w:rPr>
      </w:pPr>
      <w:r>
        <w:rPr>
          <w:rFonts w:hint="eastAsia" w:ascii="仿宋" w:hAnsi="仿宋"/>
          <w:lang w:eastAsia="zh-CN"/>
        </w:rPr>
        <w:t>公司</w:t>
      </w:r>
      <w:r>
        <w:rPr>
          <w:rFonts w:hint="eastAsia" w:ascii="仿宋" w:hAnsi="仿宋"/>
        </w:rPr>
        <w:t>融合韧性电网企业关键要素，进一步完善扰动事件应对机制，充分调动自身资源高效率地应对突发扰动事件。</w:t>
      </w:r>
      <w:r>
        <w:rPr>
          <w:rFonts w:hint="eastAsia" w:ascii="仿宋" w:hAnsi="仿宋"/>
          <w:color w:val="000000"/>
        </w:rPr>
        <w:t>迎峰度夏期间，针对密集输电通道风险校核与评估，率先在密集输电通道集中区域实施区级密集输电通道联合防控工作机制，结合防汛防台工作，开展专项检查，消除重点隐患，持续加强电力抢修驻点的防灾能力，全力确保电网设备不惧风雨考验。针对进博会等重要活动，提前组织对往届进博会保电涉及的重要场所、重点线路完成五轮设备特巡和带电检测工作，完成进博会全景智慧供电保障系统5.0版迭代升级，在客户侧建立了数字孪生保障系统，确保进博会期间电网以“零缺陷”健康状态运行。</w:t>
      </w:r>
    </w:p>
    <w:p w14:paraId="2E8B1E4C">
      <w:pPr>
        <w:pStyle w:val="29"/>
      </w:pPr>
      <w:r>
        <w:drawing>
          <wp:inline distT="0" distB="0" distL="0" distR="0">
            <wp:extent cx="5181600" cy="2581275"/>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181600" cy="2581275"/>
                    </a:xfrm>
                    <a:prstGeom prst="rect">
                      <a:avLst/>
                    </a:prstGeom>
                    <a:noFill/>
                    <a:ln>
                      <a:noFill/>
                    </a:ln>
                  </pic:spPr>
                </pic:pic>
              </a:graphicData>
            </a:graphic>
          </wp:inline>
        </w:drawing>
      </w:r>
    </w:p>
    <w:p w14:paraId="367CDC55">
      <w:pPr>
        <w:pStyle w:val="5"/>
        <w:rPr>
          <w:rFonts w:ascii="仿宋" w:hAnsi="仿宋"/>
        </w:rPr>
      </w:pPr>
      <w:bookmarkStart w:id="24" w:name="_Hlk143012951"/>
      <w:r>
        <w:rPr>
          <w:rFonts w:hint="eastAsia" w:ascii="仿宋" w:hAnsi="仿宋"/>
        </w:rPr>
        <w:t>图</w:t>
      </w:r>
      <w:r>
        <w:rPr>
          <w:rFonts w:ascii="仿宋" w:hAnsi="仿宋"/>
        </w:rPr>
        <w:t>9</w:t>
      </w:r>
      <w:r>
        <w:rPr>
          <w:rFonts w:hint="eastAsia" w:ascii="仿宋" w:hAnsi="仿宋"/>
        </w:rPr>
        <w:t xml:space="preserve"> 韧性运作的整体路径</w:t>
      </w:r>
      <w:bookmarkEnd w:id="24"/>
    </w:p>
    <w:p w14:paraId="11CB3C7A">
      <w:pPr>
        <w:pStyle w:val="3"/>
        <w:ind w:firstLine="562"/>
        <w:rPr>
          <w:rFonts w:ascii="仿宋" w:hAnsi="仿宋"/>
        </w:rPr>
      </w:pPr>
      <w:bookmarkStart w:id="25" w:name="_Toc146022597"/>
      <w:r>
        <w:rPr>
          <w:rFonts w:hint="eastAsia" w:ascii="仿宋" w:hAnsi="仿宋"/>
        </w:rPr>
        <w:t>（五）夯实资源韧性，打造城市能源保障“共同体”</w:t>
      </w:r>
      <w:bookmarkEnd w:id="25"/>
    </w:p>
    <w:p w14:paraId="02496C1B">
      <w:pPr>
        <w:pStyle w:val="26"/>
        <w:ind w:firstLine="562"/>
        <w:rPr>
          <w:rFonts w:ascii="仿宋" w:hAnsi="仿宋"/>
        </w:rPr>
      </w:pPr>
      <w:bookmarkStart w:id="26" w:name="_Toc146022598"/>
      <w:r>
        <w:rPr>
          <w:rFonts w:hint="eastAsia" w:ascii="仿宋" w:hAnsi="仿宋"/>
        </w:rPr>
        <w:t>1、提升人才韧性，打造高可塑性精兵团队</w:t>
      </w:r>
      <w:bookmarkEnd w:id="26"/>
    </w:p>
    <w:p w14:paraId="3EA24CFF">
      <w:pPr>
        <w:ind w:firstLine="560"/>
        <w:rPr>
          <w:rFonts w:ascii="仿宋" w:hAnsi="仿宋"/>
        </w:rPr>
      </w:pPr>
      <w:r>
        <w:rPr>
          <w:rFonts w:hint="eastAsia" w:ascii="仿宋" w:hAnsi="仿宋"/>
          <w:lang w:eastAsia="zh-CN"/>
        </w:rPr>
        <w:t>公司</w:t>
      </w:r>
      <w:r>
        <w:rPr>
          <w:rFonts w:hint="eastAsia" w:ascii="仿宋" w:hAnsi="仿宋"/>
        </w:rPr>
        <w:t>坚持“个体和队伍统抓，意识和行为兼顾，能力和潜力并重”原则，打造“韧性尖兵”、塑造“韧性梯队”。深度拓展人才培养的丰富内涵，根据韧性要求进行拓展和拔高，推崇韧性品质、培养韧性能力，</w:t>
      </w:r>
      <w:r>
        <w:rPr>
          <w:rFonts w:hint="eastAsia" w:ascii="仿宋" w:hAnsi="仿宋"/>
          <w:color w:val="000000"/>
        </w:rPr>
        <w:t>通过靶向培养实现员工“岗位+韧性”双胜任。</w:t>
      </w:r>
      <w:r>
        <w:rPr>
          <w:rFonts w:hint="eastAsia" w:ascii="仿宋" w:hAnsi="仿宋"/>
        </w:rPr>
        <w:t>培养具有一专多能特征的多面手人才，</w:t>
      </w:r>
      <w:r>
        <w:rPr>
          <w:rFonts w:hint="eastAsia" w:ascii="仿宋" w:hAnsi="仿宋"/>
          <w:color w:val="000000"/>
        </w:rPr>
        <w:t>实现应急状态下人才的迅速补位</w:t>
      </w:r>
      <w:r>
        <w:rPr>
          <w:rFonts w:hint="eastAsia" w:ascii="仿宋" w:hAnsi="仿宋"/>
        </w:rPr>
        <w:t>。以培养韧性的管理团队、技能团队、科技团队为核心，发挥党员先锋带头作用，打造一支攻坚克难、能打硬仗的电力“铁军”。完善“赛马制”，推进青年员工跨专业联合培养，培养优秀青年人才，提高新老传承、接续奋斗能力。</w:t>
      </w:r>
    </w:p>
    <w:p w14:paraId="7BB82F57">
      <w:pPr>
        <w:pStyle w:val="29"/>
      </w:pPr>
      <w:r>
        <w:drawing>
          <wp:inline distT="0" distB="0" distL="0" distR="0">
            <wp:extent cx="5543550" cy="2562225"/>
            <wp:effectExtent l="0" t="0" r="0" b="0"/>
            <wp:docPr id="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543550" cy="2562225"/>
                    </a:xfrm>
                    <a:prstGeom prst="rect">
                      <a:avLst/>
                    </a:prstGeom>
                    <a:noFill/>
                    <a:ln>
                      <a:noFill/>
                    </a:ln>
                  </pic:spPr>
                </pic:pic>
              </a:graphicData>
            </a:graphic>
          </wp:inline>
        </w:drawing>
      </w:r>
    </w:p>
    <w:p w14:paraId="05E2220F">
      <w:pPr>
        <w:pStyle w:val="5"/>
        <w:rPr>
          <w:rFonts w:ascii="仿宋" w:hAnsi="仿宋"/>
        </w:rPr>
      </w:pPr>
      <w:r>
        <w:rPr>
          <w:rFonts w:hint="eastAsia" w:ascii="仿宋" w:hAnsi="仿宋"/>
        </w:rPr>
        <w:t>图</w:t>
      </w:r>
      <w:r>
        <w:rPr>
          <w:rFonts w:ascii="仿宋" w:hAnsi="仿宋"/>
        </w:rPr>
        <w:t>10</w:t>
      </w:r>
      <w:r>
        <w:rPr>
          <w:rFonts w:hint="eastAsia" w:ascii="仿宋" w:hAnsi="仿宋"/>
        </w:rPr>
        <w:t xml:space="preserve"> “岗位+韧性”双胜任模型</w:t>
      </w:r>
    </w:p>
    <w:p w14:paraId="1D094C02">
      <w:pPr>
        <w:pStyle w:val="26"/>
        <w:ind w:firstLine="562"/>
        <w:rPr>
          <w:rFonts w:ascii="仿宋" w:hAnsi="仿宋"/>
        </w:rPr>
      </w:pPr>
      <w:bookmarkStart w:id="27" w:name="_Toc146022599"/>
      <w:r>
        <w:rPr>
          <w:rFonts w:hint="eastAsia" w:ascii="仿宋" w:hAnsi="仿宋"/>
        </w:rPr>
        <w:t>2、强化外部协同，共建能源保供联合体</w:t>
      </w:r>
      <w:bookmarkEnd w:id="27"/>
    </w:p>
    <w:p w14:paraId="3A07BE2D">
      <w:pPr>
        <w:ind w:firstLine="560"/>
        <w:rPr>
          <w:rFonts w:ascii="仿宋" w:hAnsi="仿宋"/>
        </w:rPr>
      </w:pPr>
      <w:r>
        <w:rPr>
          <w:rFonts w:hint="eastAsia" w:ascii="仿宋" w:hAnsi="仿宋"/>
        </w:rPr>
        <w:t>强化与政府、社会、用户等相关方的密切协作，共同构建电力安全共同体，共同解决影响电力安全保供的问题。针对夏冬两季负荷“双峰”特性，推动虚拟电厂规模化调用，通过分时电价等市场化手段构建虚拟电厂生态模式，引导激励客户自主参与调节用电负荷，形成可持续运营生态，缓解电力供需矛盾。实施区域联防供保模式，协同构建三层护线网络。建立“运维单位+属地单位+社会群众”三层防护网络，提高重点区段巡检强度、重要时段巡检频度、关键部位巡检精度。会同政府部门建立“树线矛盾、大棚隐患与施工外破”治理联合工作机制，对于输电通道内的大棚飘物、施工碰线等外破隐患，加大电力安全知识宣贯力度，通过发放安全告知书、签订安全承诺书等方式，加强相关方“共防共治”意识。</w:t>
      </w:r>
    </w:p>
    <w:p w14:paraId="1AB97D1F">
      <w:pPr>
        <w:pStyle w:val="29"/>
      </w:pPr>
      <w:r>
        <w:drawing>
          <wp:inline distT="0" distB="0" distL="0" distR="0">
            <wp:extent cx="5162550" cy="2324100"/>
            <wp:effectExtent l="0" t="0" r="0"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162550" cy="2324100"/>
                    </a:xfrm>
                    <a:prstGeom prst="rect">
                      <a:avLst/>
                    </a:prstGeom>
                    <a:noFill/>
                    <a:ln>
                      <a:noFill/>
                    </a:ln>
                  </pic:spPr>
                </pic:pic>
              </a:graphicData>
            </a:graphic>
          </wp:inline>
        </w:drawing>
      </w:r>
    </w:p>
    <w:p w14:paraId="18282FF4">
      <w:pPr>
        <w:pStyle w:val="5"/>
        <w:rPr>
          <w:rFonts w:ascii="仿宋" w:hAnsi="仿宋"/>
        </w:rPr>
      </w:pPr>
      <w:r>
        <w:rPr>
          <w:rFonts w:hint="eastAsia" w:ascii="仿宋" w:hAnsi="仿宋"/>
        </w:rPr>
        <w:t>图1</w:t>
      </w:r>
      <w:r>
        <w:rPr>
          <w:rFonts w:ascii="仿宋" w:hAnsi="仿宋"/>
        </w:rPr>
        <w:t xml:space="preserve">1 </w:t>
      </w:r>
      <w:r>
        <w:rPr>
          <w:rFonts w:hint="eastAsia" w:ascii="仿宋" w:hAnsi="仿宋"/>
        </w:rPr>
        <w:t>区域联合保供三层防护网络</w:t>
      </w:r>
    </w:p>
    <w:p w14:paraId="638939C6">
      <w:pPr>
        <w:pStyle w:val="2"/>
        <w:ind w:firstLine="562"/>
        <w:rPr>
          <w:rFonts w:ascii="仿宋" w:hAnsi="仿宋"/>
        </w:rPr>
      </w:pPr>
      <w:bookmarkStart w:id="28" w:name="_Toc146022600"/>
      <w:r>
        <w:rPr>
          <w:rFonts w:hint="eastAsia" w:ascii="仿宋" w:hAnsi="仿宋"/>
        </w:rPr>
        <w:t>三、实施效果</w:t>
      </w:r>
      <w:bookmarkEnd w:id="28"/>
    </w:p>
    <w:p w14:paraId="7D1FC9D2">
      <w:pPr>
        <w:pStyle w:val="3"/>
        <w:ind w:firstLine="562"/>
        <w:rPr>
          <w:rFonts w:ascii="仿宋" w:hAnsi="仿宋"/>
        </w:rPr>
      </w:pPr>
      <w:bookmarkStart w:id="29" w:name="_Toc146022601"/>
      <w:r>
        <w:rPr>
          <w:rFonts w:hint="eastAsia" w:ascii="仿宋" w:hAnsi="仿宋"/>
        </w:rPr>
        <w:t>（一）创新提出了韧性电网企业理念体系框架，引起各界高度广泛关注</w:t>
      </w:r>
      <w:bookmarkEnd w:id="29"/>
    </w:p>
    <w:p w14:paraId="5934F0B4">
      <w:pPr>
        <w:ind w:firstLine="560"/>
        <w:rPr>
          <w:rFonts w:ascii="仿宋" w:hAnsi="仿宋"/>
        </w:rPr>
      </w:pPr>
      <w:r>
        <w:rPr>
          <w:rFonts w:hint="eastAsia" w:ascii="仿宋" w:hAnsi="仿宋"/>
        </w:rPr>
        <w:t>首次将韧性理念应用于电力企业管理，提出了“韧性电网企业”概念，明确了韧性电网企业应具备感知力、协同力、应变力、学习力、防御力、恢复力特征，并细化阐释了“六力”的内涵，实现了韧性理念到韧性理论的升华。首次提出了韧性电网企业建设体系，并在电力企业开展了创新应用。发表的《韧性电网的概念与关键特征》学术论文在中国知网数据库中被引用次数达到</w:t>
      </w:r>
      <w:r>
        <w:rPr>
          <w:rFonts w:ascii="仿宋" w:hAnsi="仿宋"/>
        </w:rPr>
        <w:t>80</w:t>
      </w:r>
      <w:r>
        <w:rPr>
          <w:rFonts w:hint="eastAsia" w:ascii="仿宋" w:hAnsi="仿宋"/>
        </w:rPr>
        <w:t>次，下载次数近3</w:t>
      </w:r>
      <w:r>
        <w:rPr>
          <w:rFonts w:ascii="仿宋" w:hAnsi="仿宋"/>
        </w:rPr>
        <w:t>55</w:t>
      </w:r>
      <w:r>
        <w:rPr>
          <w:rFonts w:hint="eastAsia" w:ascii="仿宋" w:hAnsi="仿宋"/>
        </w:rPr>
        <w:t>0次。本成果完成人在中国电机工程学会城市供电与可靠性专业委员会学术年会暨能源转型新形势下的可靠性提升研讨会上发表的“韧性电网”报告，引起学术界对韧性电网广泛关注与讨论。出版的《韧性电网》专著以其创新性、专业性，被三位院士联袂推荐为电力领域科研工作者、工程师、高校教师、研究生重要参考书。</w:t>
      </w:r>
    </w:p>
    <w:p w14:paraId="19155F7C">
      <w:pPr>
        <w:pStyle w:val="3"/>
        <w:ind w:firstLine="562"/>
        <w:rPr>
          <w:rFonts w:ascii="仿宋" w:hAnsi="仿宋"/>
          <w:szCs w:val="28"/>
        </w:rPr>
      </w:pPr>
      <w:bookmarkStart w:id="30" w:name="_Toc146022602"/>
      <w:r>
        <w:rPr>
          <w:rFonts w:hint="eastAsia" w:ascii="仿宋" w:hAnsi="仿宋"/>
        </w:rPr>
        <w:t>（二）率先形成了超大城市电力安全防控模式，</w:t>
      </w:r>
      <w:r>
        <w:rPr>
          <w:rFonts w:hint="eastAsia" w:ascii="仿宋" w:hAnsi="仿宋"/>
          <w:szCs w:val="28"/>
        </w:rPr>
        <w:t>具有重要推广借鉴价值</w:t>
      </w:r>
      <w:bookmarkEnd w:id="30"/>
    </w:p>
    <w:p w14:paraId="457B6DFE">
      <w:pPr>
        <w:ind w:firstLine="560"/>
        <w:rPr>
          <w:rFonts w:ascii="仿宋" w:hAnsi="仿宋"/>
        </w:rPr>
      </w:pPr>
      <w:r>
        <w:rPr>
          <w:rFonts w:hint="eastAsia" w:ascii="仿宋" w:hAnsi="仿宋"/>
        </w:rPr>
        <w:t>充分结合了国家能源安全新战略基本要求、电网企业特点、电网行业特征、</w:t>
      </w:r>
      <w:r>
        <w:rPr>
          <w:rFonts w:hint="eastAsia" w:ascii="仿宋" w:hAnsi="仿宋"/>
          <w:lang w:eastAsia="zh-CN"/>
        </w:rPr>
        <w:t>城市</w:t>
      </w:r>
      <w:r>
        <w:rPr>
          <w:rFonts w:hint="eastAsia" w:ascii="仿宋" w:hAnsi="仿宋"/>
        </w:rPr>
        <w:t>区域发展特色，以及新型电力系统建设要求，契合国家发展方向、新型电力系统将建设方向、韧性城市建设方向，策略举措具备科学性、合理性、可实施性。牵头立项首个韧性电网IEC国际标准《电力系统韧性概念框架》。</w:t>
      </w:r>
      <w:r>
        <w:rPr>
          <w:rFonts w:hint="eastAsia" w:ascii="仿宋" w:hAnsi="仿宋"/>
          <w:lang w:eastAsia="zh-CN"/>
        </w:rPr>
        <w:t>公司</w:t>
      </w:r>
      <w:r>
        <w:rPr>
          <w:rFonts w:hint="eastAsia" w:ascii="仿宋" w:hAnsi="仿宋"/>
        </w:rPr>
        <w:t>依托临港自贸区新片区、西虹桥商务区、北外滩等，成功将韧性电网以及韧性电网企业相关举措应用于示范建设中，打造了具有韧性特征的新型电力系统样板间。形成了超大城市电力安全防控新模式，通过提升电网韧性、经营韧性、运作韧性、资源韧性，全力做好电力安全保供以及应对极端事件冲击，形成了电网企业韧性提升的典型范本，也为其他能源行业提供了重要借鉴。</w:t>
      </w:r>
    </w:p>
    <w:p w14:paraId="335F185B">
      <w:pPr>
        <w:pStyle w:val="3"/>
        <w:ind w:firstLine="562"/>
        <w:rPr>
          <w:rFonts w:ascii="仿宋" w:hAnsi="仿宋"/>
        </w:rPr>
      </w:pPr>
      <w:bookmarkStart w:id="31" w:name="_Toc146022603"/>
      <w:r>
        <w:rPr>
          <w:rFonts w:hint="eastAsia" w:ascii="仿宋" w:hAnsi="仿宋"/>
        </w:rPr>
        <w:t>（三）显著增强了电网企业极端事件应对能力，有效助力韧性城市建设</w:t>
      </w:r>
      <w:bookmarkEnd w:id="31"/>
    </w:p>
    <w:p w14:paraId="7458CA2C">
      <w:pPr>
        <w:ind w:firstLine="560"/>
        <w:rPr>
          <w:rFonts w:ascii="仿宋" w:hAnsi="仿宋"/>
        </w:rPr>
      </w:pPr>
      <w:r>
        <w:rPr>
          <w:rFonts w:hint="eastAsia" w:ascii="仿宋" w:hAnsi="仿宋"/>
        </w:rPr>
        <w:t>通过该管理创新实践，</w:t>
      </w:r>
      <w:r>
        <w:rPr>
          <w:rFonts w:hint="eastAsia" w:ascii="仿宋" w:hAnsi="仿宋"/>
          <w:lang w:eastAsia="zh-CN"/>
        </w:rPr>
        <w:t>公司</w:t>
      </w:r>
      <w:r>
        <w:rPr>
          <w:rFonts w:hint="eastAsia" w:ascii="仿宋" w:hAnsi="仿宋"/>
        </w:rPr>
        <w:t>有效提升了对极端天气、突发事件以及技术变革等复杂形势的应对能力，平稳应对冬季极寒和日益严峻的供需矛盾，成功抵御夏季高温负荷创新高和双台风考验，有力保障进博会等重大活动。推出全周期“四早”办电服务体系，不断提升供电服务质量</w:t>
      </w:r>
      <w:bookmarkStart w:id="33" w:name="_GoBack"/>
      <w:bookmarkEnd w:id="33"/>
      <w:r>
        <w:rPr>
          <w:rFonts w:hint="eastAsia" w:ascii="仿宋" w:hAnsi="仿宋"/>
        </w:rPr>
        <w:t>和水平，全力开创了电力营商环境优化新局面。实现企业“一证办电”、居民“刷脸办电”。“获得电力”指标排名从 98 位大幅跃升至全球 12 位，“临港速度”成为常态的“</w:t>
      </w:r>
      <w:r>
        <w:rPr>
          <w:rFonts w:hint="eastAsia" w:ascii="仿宋" w:hAnsi="仿宋"/>
          <w:lang w:eastAsia="zh-CN"/>
        </w:rPr>
        <w:t>城市</w:t>
      </w:r>
      <w:r>
        <w:rPr>
          <w:rFonts w:hint="eastAsia" w:ascii="仿宋" w:hAnsi="仿宋"/>
        </w:rPr>
        <w:t>速度”，为韧性城市建设贡献力量，为人民安居乐业提供坚强支撑。</w:t>
      </w:r>
    </w:p>
    <w:p w14:paraId="3DB73963">
      <w:pPr>
        <w:pStyle w:val="3"/>
        <w:ind w:firstLine="562"/>
        <w:rPr>
          <w:rFonts w:ascii="仿宋" w:hAnsi="仿宋"/>
        </w:rPr>
      </w:pPr>
      <w:bookmarkStart w:id="32" w:name="_Toc146022604"/>
      <w:r>
        <w:rPr>
          <w:rFonts w:hint="eastAsia" w:ascii="仿宋" w:hAnsi="仿宋"/>
        </w:rPr>
        <w:t>（四）明显促进了电网企业整体管理效率提升，有力推动企业高质量发展</w:t>
      </w:r>
      <w:bookmarkEnd w:id="32"/>
    </w:p>
    <w:p w14:paraId="6F42FCB3">
      <w:pPr>
        <w:ind w:firstLine="560"/>
        <w:rPr>
          <w:rFonts w:ascii="仿宋" w:hAnsi="仿宋"/>
        </w:rPr>
      </w:pPr>
      <w:r>
        <w:rPr>
          <w:rFonts w:hint="eastAsia" w:ascii="仿宋" w:hAnsi="仿宋"/>
          <w:lang w:eastAsia="zh-CN"/>
        </w:rPr>
        <w:t>公司</w:t>
      </w:r>
      <w:r>
        <w:rPr>
          <w:rFonts w:hint="eastAsia" w:ascii="仿宋" w:hAnsi="仿宋"/>
        </w:rPr>
        <w:t>对接战略落地、应对改革变局、加快企业转型，通过韧性电网企业建设，管理效率明显提高，经营业绩稳步提升。电缆化率由 57%提升至 72%，配电自动化率由 9.9%提升至 78.5%。线损率4.09%，同比下降0.2个百分点，累计入选国网线损治理“十强市”“百强所”9 次，10 千伏线路、台区达标率分别突破 99%、97%。全域供电可靠率由 99.9639%提升至99.9923%，核心区由 99.9886%提升至 99.9992%，达到国际先进水平，有力推动企业高质量发展和世界一流企业建设。</w:t>
      </w:r>
    </w:p>
    <w:sectPr>
      <w:pgSz w:w="11906" w:h="16838"/>
      <w:pgMar w:top="1440" w:right="1588" w:bottom="1440" w:left="1588" w:header="851" w:footer="1247" w:gutter="0"/>
      <w:pgNumType w:start="1"/>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 w:name="等线 Light">
    <w:altName w:val="宋体"/>
    <w:panose1 w:val="02010600030101010101"/>
    <w:charset w:val="86"/>
    <w:family w:val="auto"/>
    <w:pitch w:val="default"/>
    <w:sig w:usb0="00000000" w:usb1="00000000" w:usb2="00000016" w:usb3="00000000" w:csb0="0004000F" w:csb1="00000000"/>
  </w:font>
  <w:font w:name="仿宋体">
    <w:altName w:val="宋体"/>
    <w:panose1 w:val="00000000000000000000"/>
    <w:charset w:val="86"/>
    <w:family w:val="roman"/>
    <w:pitch w:val="default"/>
    <w:sig w:usb0="00000000" w:usb1="00000000" w:usb2="00000010"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华文仿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E284F3">
    <w:pPr>
      <w:pStyle w:val="10"/>
      <w:ind w:firstLine="360"/>
      <w:jc w:val="center"/>
    </w:pPr>
    <w:r>
      <w:fldChar w:fldCharType="begin"/>
    </w:r>
    <w:r>
      <w:instrText xml:space="preserve">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F4DDBA">
    <w:pPr>
      <w:pStyle w:val="10"/>
      <w:framePr w:wrap="around" w:vAnchor="text" w:hAnchor="margin" w:xAlign="outside" w:y="1"/>
      <w:ind w:firstLine="360"/>
      <w:rPr>
        <w:rStyle w:val="17"/>
      </w:rPr>
    </w:pPr>
    <w:r>
      <w:fldChar w:fldCharType="begin"/>
    </w:r>
    <w:r>
      <w:rPr>
        <w:rStyle w:val="17"/>
      </w:rPr>
      <w:instrText xml:space="preserve">PAGE  </w:instrText>
    </w:r>
    <w:r>
      <w:fldChar w:fldCharType="end"/>
    </w:r>
  </w:p>
  <w:p w14:paraId="72D10D66">
    <w:pPr>
      <w:pStyle w:val="10"/>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100EBB">
    <w:pPr>
      <w:pStyle w:val="10"/>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560"/>
      </w:pPr>
      <w:r>
        <w:separator/>
      </w:r>
    </w:p>
  </w:footnote>
  <w:footnote w:type="continuationSeparator" w:id="1">
    <w:p>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AAC34B">
    <w:pPr>
      <w:pStyle w:val="11"/>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6E0AF4">
    <w:pPr>
      <w:pStyle w:val="11"/>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0"/>
  <w:displayVerticalDrawingGridEvery w:val="2"/>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zgxZTNmN2NjOTAyZWE1YmI4NzM0MzE3ZjZjMjFlYWYifQ=="/>
  </w:docVars>
  <w:rsids>
    <w:rsidRoot w:val="00172A27"/>
    <w:rsid w:val="0000009E"/>
    <w:rsid w:val="00001A04"/>
    <w:rsid w:val="00007310"/>
    <w:rsid w:val="000109F5"/>
    <w:rsid w:val="00011476"/>
    <w:rsid w:val="0001148B"/>
    <w:rsid w:val="00011A0C"/>
    <w:rsid w:val="000122C8"/>
    <w:rsid w:val="00013C53"/>
    <w:rsid w:val="0001646E"/>
    <w:rsid w:val="00016633"/>
    <w:rsid w:val="00017153"/>
    <w:rsid w:val="00022A84"/>
    <w:rsid w:val="00022CB3"/>
    <w:rsid w:val="0002706A"/>
    <w:rsid w:val="00032021"/>
    <w:rsid w:val="000334F9"/>
    <w:rsid w:val="00033AC5"/>
    <w:rsid w:val="00034C36"/>
    <w:rsid w:val="00034EF1"/>
    <w:rsid w:val="00036FE9"/>
    <w:rsid w:val="00040346"/>
    <w:rsid w:val="0004061A"/>
    <w:rsid w:val="0004081B"/>
    <w:rsid w:val="000414CC"/>
    <w:rsid w:val="0004289C"/>
    <w:rsid w:val="00042C08"/>
    <w:rsid w:val="00044D85"/>
    <w:rsid w:val="000471F4"/>
    <w:rsid w:val="0005336D"/>
    <w:rsid w:val="00053E0C"/>
    <w:rsid w:val="00056788"/>
    <w:rsid w:val="00056A78"/>
    <w:rsid w:val="00057732"/>
    <w:rsid w:val="00062372"/>
    <w:rsid w:val="00062E61"/>
    <w:rsid w:val="00066111"/>
    <w:rsid w:val="00071BB1"/>
    <w:rsid w:val="0007202E"/>
    <w:rsid w:val="00073DA9"/>
    <w:rsid w:val="0007407A"/>
    <w:rsid w:val="00074099"/>
    <w:rsid w:val="000750BC"/>
    <w:rsid w:val="00076C71"/>
    <w:rsid w:val="00077712"/>
    <w:rsid w:val="00080F80"/>
    <w:rsid w:val="00082B18"/>
    <w:rsid w:val="00083E6D"/>
    <w:rsid w:val="00084F44"/>
    <w:rsid w:val="00086554"/>
    <w:rsid w:val="00091892"/>
    <w:rsid w:val="000927E5"/>
    <w:rsid w:val="00096813"/>
    <w:rsid w:val="000A0B89"/>
    <w:rsid w:val="000A254A"/>
    <w:rsid w:val="000A43D0"/>
    <w:rsid w:val="000A6E99"/>
    <w:rsid w:val="000A744C"/>
    <w:rsid w:val="000B0A0F"/>
    <w:rsid w:val="000B1CF8"/>
    <w:rsid w:val="000B22C5"/>
    <w:rsid w:val="000B2AD8"/>
    <w:rsid w:val="000B4A4B"/>
    <w:rsid w:val="000B4DB3"/>
    <w:rsid w:val="000B6434"/>
    <w:rsid w:val="000B7660"/>
    <w:rsid w:val="000C14AB"/>
    <w:rsid w:val="000C1A40"/>
    <w:rsid w:val="000C41E1"/>
    <w:rsid w:val="000C7AC2"/>
    <w:rsid w:val="000C7D1F"/>
    <w:rsid w:val="000D0241"/>
    <w:rsid w:val="000D19CC"/>
    <w:rsid w:val="000D32E3"/>
    <w:rsid w:val="000D35CD"/>
    <w:rsid w:val="000D5012"/>
    <w:rsid w:val="000D5BAA"/>
    <w:rsid w:val="000D5FAA"/>
    <w:rsid w:val="000D7161"/>
    <w:rsid w:val="000D7764"/>
    <w:rsid w:val="000D7955"/>
    <w:rsid w:val="000E2FCC"/>
    <w:rsid w:val="000E753B"/>
    <w:rsid w:val="000F1009"/>
    <w:rsid w:val="000F3196"/>
    <w:rsid w:val="000F31FC"/>
    <w:rsid w:val="000F3A0A"/>
    <w:rsid w:val="001000BD"/>
    <w:rsid w:val="0010018B"/>
    <w:rsid w:val="00100FE1"/>
    <w:rsid w:val="0010324F"/>
    <w:rsid w:val="00106F03"/>
    <w:rsid w:val="0010713D"/>
    <w:rsid w:val="001077AC"/>
    <w:rsid w:val="00112E2E"/>
    <w:rsid w:val="001133E4"/>
    <w:rsid w:val="001138C3"/>
    <w:rsid w:val="00117F50"/>
    <w:rsid w:val="001236D5"/>
    <w:rsid w:val="001240A6"/>
    <w:rsid w:val="0012514F"/>
    <w:rsid w:val="001261AF"/>
    <w:rsid w:val="001265BE"/>
    <w:rsid w:val="00126A4C"/>
    <w:rsid w:val="00130E73"/>
    <w:rsid w:val="00131764"/>
    <w:rsid w:val="0013238D"/>
    <w:rsid w:val="00133EEB"/>
    <w:rsid w:val="00137638"/>
    <w:rsid w:val="00140E58"/>
    <w:rsid w:val="00141B64"/>
    <w:rsid w:val="0014201E"/>
    <w:rsid w:val="00142F3B"/>
    <w:rsid w:val="00142F4D"/>
    <w:rsid w:val="00143B32"/>
    <w:rsid w:val="00144DA5"/>
    <w:rsid w:val="00146B21"/>
    <w:rsid w:val="00146F27"/>
    <w:rsid w:val="00147C59"/>
    <w:rsid w:val="00150CEF"/>
    <w:rsid w:val="0015229F"/>
    <w:rsid w:val="00153CED"/>
    <w:rsid w:val="00154A31"/>
    <w:rsid w:val="00155188"/>
    <w:rsid w:val="001563A0"/>
    <w:rsid w:val="00156E63"/>
    <w:rsid w:val="001619BF"/>
    <w:rsid w:val="00161F6A"/>
    <w:rsid w:val="0016249F"/>
    <w:rsid w:val="00162898"/>
    <w:rsid w:val="0016322F"/>
    <w:rsid w:val="00167A15"/>
    <w:rsid w:val="001716BC"/>
    <w:rsid w:val="00172A27"/>
    <w:rsid w:val="00173D96"/>
    <w:rsid w:val="00176611"/>
    <w:rsid w:val="0017704D"/>
    <w:rsid w:val="00177B72"/>
    <w:rsid w:val="00180086"/>
    <w:rsid w:val="00181118"/>
    <w:rsid w:val="00181B60"/>
    <w:rsid w:val="0018264E"/>
    <w:rsid w:val="00186950"/>
    <w:rsid w:val="00187C54"/>
    <w:rsid w:val="001923F7"/>
    <w:rsid w:val="00193192"/>
    <w:rsid w:val="00196EE3"/>
    <w:rsid w:val="00197802"/>
    <w:rsid w:val="001A2BD3"/>
    <w:rsid w:val="001A63B1"/>
    <w:rsid w:val="001A7C6F"/>
    <w:rsid w:val="001B0688"/>
    <w:rsid w:val="001B08A6"/>
    <w:rsid w:val="001B0DA0"/>
    <w:rsid w:val="001B3325"/>
    <w:rsid w:val="001B3398"/>
    <w:rsid w:val="001B4D89"/>
    <w:rsid w:val="001B7E72"/>
    <w:rsid w:val="001C21A4"/>
    <w:rsid w:val="001C23FE"/>
    <w:rsid w:val="001C4AD5"/>
    <w:rsid w:val="001C7E22"/>
    <w:rsid w:val="001D03CA"/>
    <w:rsid w:val="001D0DB9"/>
    <w:rsid w:val="001D284F"/>
    <w:rsid w:val="001D48C1"/>
    <w:rsid w:val="001E0EA2"/>
    <w:rsid w:val="001E1699"/>
    <w:rsid w:val="001E22FF"/>
    <w:rsid w:val="001E255A"/>
    <w:rsid w:val="001E3841"/>
    <w:rsid w:val="001E61C6"/>
    <w:rsid w:val="001E71C2"/>
    <w:rsid w:val="001F0465"/>
    <w:rsid w:val="001F0883"/>
    <w:rsid w:val="001F13BF"/>
    <w:rsid w:val="001F1D2C"/>
    <w:rsid w:val="001F1FD6"/>
    <w:rsid w:val="001F21EE"/>
    <w:rsid w:val="001F4323"/>
    <w:rsid w:val="001F7631"/>
    <w:rsid w:val="00202306"/>
    <w:rsid w:val="002023B7"/>
    <w:rsid w:val="002036B3"/>
    <w:rsid w:val="00204D4A"/>
    <w:rsid w:val="00206E95"/>
    <w:rsid w:val="00210B8D"/>
    <w:rsid w:val="0021203B"/>
    <w:rsid w:val="00212D1F"/>
    <w:rsid w:val="00213D5A"/>
    <w:rsid w:val="00214A88"/>
    <w:rsid w:val="00215962"/>
    <w:rsid w:val="00215D21"/>
    <w:rsid w:val="00217B17"/>
    <w:rsid w:val="00217D2F"/>
    <w:rsid w:val="00220979"/>
    <w:rsid w:val="00221893"/>
    <w:rsid w:val="00222AA4"/>
    <w:rsid w:val="00225213"/>
    <w:rsid w:val="002257BC"/>
    <w:rsid w:val="00226A05"/>
    <w:rsid w:val="00230801"/>
    <w:rsid w:val="00231363"/>
    <w:rsid w:val="00231A95"/>
    <w:rsid w:val="00231C37"/>
    <w:rsid w:val="00243FC3"/>
    <w:rsid w:val="0024469C"/>
    <w:rsid w:val="00245137"/>
    <w:rsid w:val="00247ED9"/>
    <w:rsid w:val="00250528"/>
    <w:rsid w:val="00253D01"/>
    <w:rsid w:val="002549A5"/>
    <w:rsid w:val="00254F55"/>
    <w:rsid w:val="00255597"/>
    <w:rsid w:val="00256907"/>
    <w:rsid w:val="00256A39"/>
    <w:rsid w:val="00257292"/>
    <w:rsid w:val="00257799"/>
    <w:rsid w:val="0026190D"/>
    <w:rsid w:val="0026206A"/>
    <w:rsid w:val="00263BC8"/>
    <w:rsid w:val="00265ED0"/>
    <w:rsid w:val="002662ED"/>
    <w:rsid w:val="00273132"/>
    <w:rsid w:val="002734A6"/>
    <w:rsid w:val="00273875"/>
    <w:rsid w:val="00273BAD"/>
    <w:rsid w:val="002762A0"/>
    <w:rsid w:val="00284D35"/>
    <w:rsid w:val="00287461"/>
    <w:rsid w:val="002900D9"/>
    <w:rsid w:val="002912EB"/>
    <w:rsid w:val="00291AF4"/>
    <w:rsid w:val="00291B93"/>
    <w:rsid w:val="002933E9"/>
    <w:rsid w:val="00293F1A"/>
    <w:rsid w:val="00294A32"/>
    <w:rsid w:val="002A14EB"/>
    <w:rsid w:val="002A323A"/>
    <w:rsid w:val="002A5EF7"/>
    <w:rsid w:val="002A68C4"/>
    <w:rsid w:val="002B310E"/>
    <w:rsid w:val="002B394B"/>
    <w:rsid w:val="002B4368"/>
    <w:rsid w:val="002B5079"/>
    <w:rsid w:val="002B696D"/>
    <w:rsid w:val="002B7AEB"/>
    <w:rsid w:val="002C0642"/>
    <w:rsid w:val="002C1D28"/>
    <w:rsid w:val="002C2AAF"/>
    <w:rsid w:val="002C2BED"/>
    <w:rsid w:val="002C348C"/>
    <w:rsid w:val="002C3857"/>
    <w:rsid w:val="002C3C7D"/>
    <w:rsid w:val="002C487D"/>
    <w:rsid w:val="002C53E1"/>
    <w:rsid w:val="002C578C"/>
    <w:rsid w:val="002C7012"/>
    <w:rsid w:val="002D2652"/>
    <w:rsid w:val="002D4156"/>
    <w:rsid w:val="002D5DEE"/>
    <w:rsid w:val="002D7FA7"/>
    <w:rsid w:val="002E03D3"/>
    <w:rsid w:val="002E16F3"/>
    <w:rsid w:val="002E1B37"/>
    <w:rsid w:val="002E1C94"/>
    <w:rsid w:val="002E2F8B"/>
    <w:rsid w:val="002E34FB"/>
    <w:rsid w:val="002E3F25"/>
    <w:rsid w:val="002E7CDD"/>
    <w:rsid w:val="002F079B"/>
    <w:rsid w:val="002F15C5"/>
    <w:rsid w:val="002F332A"/>
    <w:rsid w:val="002F47E7"/>
    <w:rsid w:val="002F4DAA"/>
    <w:rsid w:val="002F5B82"/>
    <w:rsid w:val="002F7645"/>
    <w:rsid w:val="003003CA"/>
    <w:rsid w:val="0030293B"/>
    <w:rsid w:val="003039F8"/>
    <w:rsid w:val="00305814"/>
    <w:rsid w:val="003072EF"/>
    <w:rsid w:val="003131FA"/>
    <w:rsid w:val="00313904"/>
    <w:rsid w:val="00313BFF"/>
    <w:rsid w:val="0031413D"/>
    <w:rsid w:val="00314444"/>
    <w:rsid w:val="00314B3C"/>
    <w:rsid w:val="00316B6C"/>
    <w:rsid w:val="00317C60"/>
    <w:rsid w:val="00320E3F"/>
    <w:rsid w:val="003232CD"/>
    <w:rsid w:val="00323A63"/>
    <w:rsid w:val="00324E10"/>
    <w:rsid w:val="00326276"/>
    <w:rsid w:val="00326B44"/>
    <w:rsid w:val="00331781"/>
    <w:rsid w:val="00331B8E"/>
    <w:rsid w:val="00332779"/>
    <w:rsid w:val="00332E68"/>
    <w:rsid w:val="00333A68"/>
    <w:rsid w:val="00340C87"/>
    <w:rsid w:val="00341E5F"/>
    <w:rsid w:val="00342B46"/>
    <w:rsid w:val="00343BE1"/>
    <w:rsid w:val="00345DDF"/>
    <w:rsid w:val="00347013"/>
    <w:rsid w:val="003471F0"/>
    <w:rsid w:val="003506B2"/>
    <w:rsid w:val="00350DB4"/>
    <w:rsid w:val="00351819"/>
    <w:rsid w:val="00352195"/>
    <w:rsid w:val="00352B9A"/>
    <w:rsid w:val="00353237"/>
    <w:rsid w:val="003532E8"/>
    <w:rsid w:val="00354B67"/>
    <w:rsid w:val="003567C6"/>
    <w:rsid w:val="00361254"/>
    <w:rsid w:val="00364AF7"/>
    <w:rsid w:val="00366404"/>
    <w:rsid w:val="00371610"/>
    <w:rsid w:val="00371659"/>
    <w:rsid w:val="00372C73"/>
    <w:rsid w:val="00373767"/>
    <w:rsid w:val="00374D2C"/>
    <w:rsid w:val="00376C9A"/>
    <w:rsid w:val="00376FC1"/>
    <w:rsid w:val="003773F8"/>
    <w:rsid w:val="0038102C"/>
    <w:rsid w:val="003810CD"/>
    <w:rsid w:val="0038150E"/>
    <w:rsid w:val="003836B7"/>
    <w:rsid w:val="00384633"/>
    <w:rsid w:val="00384E7D"/>
    <w:rsid w:val="00387C73"/>
    <w:rsid w:val="00392F0C"/>
    <w:rsid w:val="0039307C"/>
    <w:rsid w:val="003931B0"/>
    <w:rsid w:val="003942CA"/>
    <w:rsid w:val="00396F0D"/>
    <w:rsid w:val="003970B2"/>
    <w:rsid w:val="003A0A59"/>
    <w:rsid w:val="003A2282"/>
    <w:rsid w:val="003A2820"/>
    <w:rsid w:val="003A3076"/>
    <w:rsid w:val="003A3137"/>
    <w:rsid w:val="003A3C00"/>
    <w:rsid w:val="003A518F"/>
    <w:rsid w:val="003A6722"/>
    <w:rsid w:val="003B092D"/>
    <w:rsid w:val="003B26CD"/>
    <w:rsid w:val="003B33BE"/>
    <w:rsid w:val="003B4B62"/>
    <w:rsid w:val="003B4D97"/>
    <w:rsid w:val="003B57BD"/>
    <w:rsid w:val="003B6256"/>
    <w:rsid w:val="003B7214"/>
    <w:rsid w:val="003B7B27"/>
    <w:rsid w:val="003C1766"/>
    <w:rsid w:val="003C198F"/>
    <w:rsid w:val="003C4BB6"/>
    <w:rsid w:val="003C70A1"/>
    <w:rsid w:val="003C77F3"/>
    <w:rsid w:val="003D1B01"/>
    <w:rsid w:val="003D1DF0"/>
    <w:rsid w:val="003D4EAF"/>
    <w:rsid w:val="003D5073"/>
    <w:rsid w:val="003D7254"/>
    <w:rsid w:val="003D7B04"/>
    <w:rsid w:val="003E0BAD"/>
    <w:rsid w:val="003E1D94"/>
    <w:rsid w:val="003E1E0B"/>
    <w:rsid w:val="003E3854"/>
    <w:rsid w:val="003E615E"/>
    <w:rsid w:val="003E61E4"/>
    <w:rsid w:val="003E68F7"/>
    <w:rsid w:val="003E7559"/>
    <w:rsid w:val="003F0A77"/>
    <w:rsid w:val="003F187F"/>
    <w:rsid w:val="003F25E8"/>
    <w:rsid w:val="003F3071"/>
    <w:rsid w:val="003F3550"/>
    <w:rsid w:val="003F4102"/>
    <w:rsid w:val="003F4310"/>
    <w:rsid w:val="003F43F9"/>
    <w:rsid w:val="003F5075"/>
    <w:rsid w:val="003F54FA"/>
    <w:rsid w:val="003F5FD4"/>
    <w:rsid w:val="00402E53"/>
    <w:rsid w:val="0040490F"/>
    <w:rsid w:val="00407266"/>
    <w:rsid w:val="00407E2C"/>
    <w:rsid w:val="00410156"/>
    <w:rsid w:val="00410A7C"/>
    <w:rsid w:val="00410E9A"/>
    <w:rsid w:val="004123F8"/>
    <w:rsid w:val="00413FCD"/>
    <w:rsid w:val="00417FED"/>
    <w:rsid w:val="00422011"/>
    <w:rsid w:val="00422DC6"/>
    <w:rsid w:val="00422ED6"/>
    <w:rsid w:val="004305BA"/>
    <w:rsid w:val="00436669"/>
    <w:rsid w:val="0043781A"/>
    <w:rsid w:val="00437E4F"/>
    <w:rsid w:val="00440A88"/>
    <w:rsid w:val="00441539"/>
    <w:rsid w:val="00441872"/>
    <w:rsid w:val="0044266B"/>
    <w:rsid w:val="00443785"/>
    <w:rsid w:val="00443FB4"/>
    <w:rsid w:val="00443FBE"/>
    <w:rsid w:val="0044447F"/>
    <w:rsid w:val="00444668"/>
    <w:rsid w:val="004464D9"/>
    <w:rsid w:val="004472D3"/>
    <w:rsid w:val="00447D9D"/>
    <w:rsid w:val="00450C6C"/>
    <w:rsid w:val="004511E8"/>
    <w:rsid w:val="0045284B"/>
    <w:rsid w:val="00452AE9"/>
    <w:rsid w:val="004622C2"/>
    <w:rsid w:val="00466FA5"/>
    <w:rsid w:val="0047287D"/>
    <w:rsid w:val="00472F6B"/>
    <w:rsid w:val="0047350E"/>
    <w:rsid w:val="004739A4"/>
    <w:rsid w:val="00474CCA"/>
    <w:rsid w:val="0047622A"/>
    <w:rsid w:val="00477512"/>
    <w:rsid w:val="00477524"/>
    <w:rsid w:val="00480BDD"/>
    <w:rsid w:val="004817F1"/>
    <w:rsid w:val="00481927"/>
    <w:rsid w:val="004820A0"/>
    <w:rsid w:val="00482399"/>
    <w:rsid w:val="0048239A"/>
    <w:rsid w:val="00482598"/>
    <w:rsid w:val="00482C7A"/>
    <w:rsid w:val="00483F9D"/>
    <w:rsid w:val="00484F5F"/>
    <w:rsid w:val="00487F91"/>
    <w:rsid w:val="00493EED"/>
    <w:rsid w:val="00495975"/>
    <w:rsid w:val="00496453"/>
    <w:rsid w:val="00496D12"/>
    <w:rsid w:val="00497BBA"/>
    <w:rsid w:val="004A0C7B"/>
    <w:rsid w:val="004A1002"/>
    <w:rsid w:val="004A1995"/>
    <w:rsid w:val="004A1AE0"/>
    <w:rsid w:val="004A1F98"/>
    <w:rsid w:val="004A4B29"/>
    <w:rsid w:val="004A4F60"/>
    <w:rsid w:val="004A5B9D"/>
    <w:rsid w:val="004A5F3C"/>
    <w:rsid w:val="004A7340"/>
    <w:rsid w:val="004B116B"/>
    <w:rsid w:val="004B1DCD"/>
    <w:rsid w:val="004B2F94"/>
    <w:rsid w:val="004B44F9"/>
    <w:rsid w:val="004B4CF9"/>
    <w:rsid w:val="004B52E1"/>
    <w:rsid w:val="004B582F"/>
    <w:rsid w:val="004C0439"/>
    <w:rsid w:val="004C0923"/>
    <w:rsid w:val="004C16D0"/>
    <w:rsid w:val="004C303F"/>
    <w:rsid w:val="004C5B8C"/>
    <w:rsid w:val="004C5E69"/>
    <w:rsid w:val="004C635A"/>
    <w:rsid w:val="004D0E6C"/>
    <w:rsid w:val="004D21B9"/>
    <w:rsid w:val="004D263D"/>
    <w:rsid w:val="004D2F73"/>
    <w:rsid w:val="004D554E"/>
    <w:rsid w:val="004D6692"/>
    <w:rsid w:val="004D7F7E"/>
    <w:rsid w:val="004E1F30"/>
    <w:rsid w:val="004E29B6"/>
    <w:rsid w:val="004E2B2C"/>
    <w:rsid w:val="004F1AE5"/>
    <w:rsid w:val="004F4EB7"/>
    <w:rsid w:val="004F50EA"/>
    <w:rsid w:val="004F5598"/>
    <w:rsid w:val="004F6B3D"/>
    <w:rsid w:val="004F6E0E"/>
    <w:rsid w:val="004F7479"/>
    <w:rsid w:val="004F7A23"/>
    <w:rsid w:val="005010AB"/>
    <w:rsid w:val="00511E55"/>
    <w:rsid w:val="00511F3A"/>
    <w:rsid w:val="00515156"/>
    <w:rsid w:val="00515287"/>
    <w:rsid w:val="0051715F"/>
    <w:rsid w:val="005207CD"/>
    <w:rsid w:val="00520A49"/>
    <w:rsid w:val="00521B5F"/>
    <w:rsid w:val="00522B83"/>
    <w:rsid w:val="0052319F"/>
    <w:rsid w:val="00523647"/>
    <w:rsid w:val="00527821"/>
    <w:rsid w:val="00530A66"/>
    <w:rsid w:val="00530E87"/>
    <w:rsid w:val="00532FC2"/>
    <w:rsid w:val="00535065"/>
    <w:rsid w:val="00535F15"/>
    <w:rsid w:val="0054044A"/>
    <w:rsid w:val="00540A84"/>
    <w:rsid w:val="00541649"/>
    <w:rsid w:val="005438EC"/>
    <w:rsid w:val="00546E78"/>
    <w:rsid w:val="00552E47"/>
    <w:rsid w:val="005559F0"/>
    <w:rsid w:val="00556516"/>
    <w:rsid w:val="00556A62"/>
    <w:rsid w:val="00557DE2"/>
    <w:rsid w:val="005603F1"/>
    <w:rsid w:val="00560AA5"/>
    <w:rsid w:val="00560FE9"/>
    <w:rsid w:val="0056110A"/>
    <w:rsid w:val="00562200"/>
    <w:rsid w:val="005647A4"/>
    <w:rsid w:val="00565965"/>
    <w:rsid w:val="005666A1"/>
    <w:rsid w:val="005701A4"/>
    <w:rsid w:val="005707CD"/>
    <w:rsid w:val="00572DB0"/>
    <w:rsid w:val="005744F8"/>
    <w:rsid w:val="00574E19"/>
    <w:rsid w:val="00575673"/>
    <w:rsid w:val="005757DB"/>
    <w:rsid w:val="00577530"/>
    <w:rsid w:val="00581D31"/>
    <w:rsid w:val="00582170"/>
    <w:rsid w:val="00582472"/>
    <w:rsid w:val="005843F9"/>
    <w:rsid w:val="00585A20"/>
    <w:rsid w:val="0059038B"/>
    <w:rsid w:val="00592428"/>
    <w:rsid w:val="00592EB9"/>
    <w:rsid w:val="005936CD"/>
    <w:rsid w:val="00593B5E"/>
    <w:rsid w:val="0059461E"/>
    <w:rsid w:val="0059651F"/>
    <w:rsid w:val="00597157"/>
    <w:rsid w:val="00597E9E"/>
    <w:rsid w:val="005A599D"/>
    <w:rsid w:val="005A5F1E"/>
    <w:rsid w:val="005A698D"/>
    <w:rsid w:val="005B09AF"/>
    <w:rsid w:val="005B0D36"/>
    <w:rsid w:val="005B1FF6"/>
    <w:rsid w:val="005B22AE"/>
    <w:rsid w:val="005B313D"/>
    <w:rsid w:val="005B46F9"/>
    <w:rsid w:val="005B6035"/>
    <w:rsid w:val="005B75C0"/>
    <w:rsid w:val="005C17E4"/>
    <w:rsid w:val="005C289C"/>
    <w:rsid w:val="005C364B"/>
    <w:rsid w:val="005C4367"/>
    <w:rsid w:val="005C4983"/>
    <w:rsid w:val="005C51E3"/>
    <w:rsid w:val="005C74F7"/>
    <w:rsid w:val="005D23AD"/>
    <w:rsid w:val="005D30A1"/>
    <w:rsid w:val="005D3200"/>
    <w:rsid w:val="005D3330"/>
    <w:rsid w:val="005D3568"/>
    <w:rsid w:val="005D5C8D"/>
    <w:rsid w:val="005D5EF2"/>
    <w:rsid w:val="005D68E5"/>
    <w:rsid w:val="005D744D"/>
    <w:rsid w:val="005D781E"/>
    <w:rsid w:val="005E00D2"/>
    <w:rsid w:val="005E1929"/>
    <w:rsid w:val="005E1C18"/>
    <w:rsid w:val="005E21B8"/>
    <w:rsid w:val="005E24C8"/>
    <w:rsid w:val="005E26A7"/>
    <w:rsid w:val="005E3CDA"/>
    <w:rsid w:val="005E4769"/>
    <w:rsid w:val="005E4A66"/>
    <w:rsid w:val="005E6DF7"/>
    <w:rsid w:val="005E7D02"/>
    <w:rsid w:val="005F018E"/>
    <w:rsid w:val="005F0886"/>
    <w:rsid w:val="005F1181"/>
    <w:rsid w:val="005F19D1"/>
    <w:rsid w:val="005F20F1"/>
    <w:rsid w:val="005F53DE"/>
    <w:rsid w:val="005F6C35"/>
    <w:rsid w:val="005F778D"/>
    <w:rsid w:val="005F7D29"/>
    <w:rsid w:val="00601B79"/>
    <w:rsid w:val="00603FD9"/>
    <w:rsid w:val="006055DC"/>
    <w:rsid w:val="00605911"/>
    <w:rsid w:val="00605F19"/>
    <w:rsid w:val="00606FD9"/>
    <w:rsid w:val="00611FBD"/>
    <w:rsid w:val="0061292E"/>
    <w:rsid w:val="00612AE1"/>
    <w:rsid w:val="006132C7"/>
    <w:rsid w:val="00617807"/>
    <w:rsid w:val="00620EAB"/>
    <w:rsid w:val="00621110"/>
    <w:rsid w:val="00625EB0"/>
    <w:rsid w:val="00630C64"/>
    <w:rsid w:val="006315DE"/>
    <w:rsid w:val="00632A4B"/>
    <w:rsid w:val="00636219"/>
    <w:rsid w:val="00636393"/>
    <w:rsid w:val="00640079"/>
    <w:rsid w:val="0064457C"/>
    <w:rsid w:val="00644925"/>
    <w:rsid w:val="00647FF4"/>
    <w:rsid w:val="006502C7"/>
    <w:rsid w:val="00651B7E"/>
    <w:rsid w:val="00652643"/>
    <w:rsid w:val="00655EF5"/>
    <w:rsid w:val="0065658F"/>
    <w:rsid w:val="00660828"/>
    <w:rsid w:val="00660AFA"/>
    <w:rsid w:val="00661938"/>
    <w:rsid w:val="0066256D"/>
    <w:rsid w:val="00662638"/>
    <w:rsid w:val="0066451B"/>
    <w:rsid w:val="00665A8C"/>
    <w:rsid w:val="00666B35"/>
    <w:rsid w:val="00666B67"/>
    <w:rsid w:val="00667C5E"/>
    <w:rsid w:val="006703E8"/>
    <w:rsid w:val="00670803"/>
    <w:rsid w:val="00670882"/>
    <w:rsid w:val="00670DF5"/>
    <w:rsid w:val="00672A2F"/>
    <w:rsid w:val="006735FE"/>
    <w:rsid w:val="00673F82"/>
    <w:rsid w:val="0067490C"/>
    <w:rsid w:val="00674BC6"/>
    <w:rsid w:val="00675361"/>
    <w:rsid w:val="00675B82"/>
    <w:rsid w:val="00675FAC"/>
    <w:rsid w:val="006818E5"/>
    <w:rsid w:val="0068312B"/>
    <w:rsid w:val="00686A18"/>
    <w:rsid w:val="0068773F"/>
    <w:rsid w:val="006912B2"/>
    <w:rsid w:val="00692D82"/>
    <w:rsid w:val="006A0B93"/>
    <w:rsid w:val="006A22A3"/>
    <w:rsid w:val="006A3876"/>
    <w:rsid w:val="006A4F85"/>
    <w:rsid w:val="006B1E3D"/>
    <w:rsid w:val="006B215C"/>
    <w:rsid w:val="006B2E0B"/>
    <w:rsid w:val="006B4324"/>
    <w:rsid w:val="006B6E98"/>
    <w:rsid w:val="006B7DC9"/>
    <w:rsid w:val="006C4E75"/>
    <w:rsid w:val="006D056B"/>
    <w:rsid w:val="006D11D2"/>
    <w:rsid w:val="006D1B4C"/>
    <w:rsid w:val="006D39B6"/>
    <w:rsid w:val="006D4B92"/>
    <w:rsid w:val="006D6739"/>
    <w:rsid w:val="006D7CCB"/>
    <w:rsid w:val="006E1A5C"/>
    <w:rsid w:val="006E39CB"/>
    <w:rsid w:val="006E5091"/>
    <w:rsid w:val="006F0DF2"/>
    <w:rsid w:val="006F271F"/>
    <w:rsid w:val="006F6FA8"/>
    <w:rsid w:val="00700B74"/>
    <w:rsid w:val="00700BE1"/>
    <w:rsid w:val="007017C5"/>
    <w:rsid w:val="00701AF8"/>
    <w:rsid w:val="0070364F"/>
    <w:rsid w:val="007042C9"/>
    <w:rsid w:val="00707EF6"/>
    <w:rsid w:val="007112DF"/>
    <w:rsid w:val="00713A15"/>
    <w:rsid w:val="00716C73"/>
    <w:rsid w:val="00720433"/>
    <w:rsid w:val="0072064F"/>
    <w:rsid w:val="00721685"/>
    <w:rsid w:val="00721B8A"/>
    <w:rsid w:val="007225A5"/>
    <w:rsid w:val="0072455C"/>
    <w:rsid w:val="0072484C"/>
    <w:rsid w:val="00730B6E"/>
    <w:rsid w:val="00731F6E"/>
    <w:rsid w:val="0073469D"/>
    <w:rsid w:val="00734C7F"/>
    <w:rsid w:val="00740C43"/>
    <w:rsid w:val="00740E0C"/>
    <w:rsid w:val="00740E59"/>
    <w:rsid w:val="007423AB"/>
    <w:rsid w:val="00742AD3"/>
    <w:rsid w:val="00743AC3"/>
    <w:rsid w:val="007450A5"/>
    <w:rsid w:val="0074651C"/>
    <w:rsid w:val="00746660"/>
    <w:rsid w:val="00746933"/>
    <w:rsid w:val="0074726C"/>
    <w:rsid w:val="00747421"/>
    <w:rsid w:val="00747851"/>
    <w:rsid w:val="00752873"/>
    <w:rsid w:val="00754227"/>
    <w:rsid w:val="0075680D"/>
    <w:rsid w:val="00757C06"/>
    <w:rsid w:val="0076187B"/>
    <w:rsid w:val="00761DBB"/>
    <w:rsid w:val="007640D0"/>
    <w:rsid w:val="00766980"/>
    <w:rsid w:val="00767DF1"/>
    <w:rsid w:val="007722BF"/>
    <w:rsid w:val="007731D1"/>
    <w:rsid w:val="00773D30"/>
    <w:rsid w:val="007747A6"/>
    <w:rsid w:val="007763F2"/>
    <w:rsid w:val="00776564"/>
    <w:rsid w:val="007766B4"/>
    <w:rsid w:val="00776FA2"/>
    <w:rsid w:val="00780212"/>
    <w:rsid w:val="007808A2"/>
    <w:rsid w:val="00780D7A"/>
    <w:rsid w:val="007812F9"/>
    <w:rsid w:val="00781EDA"/>
    <w:rsid w:val="00782A09"/>
    <w:rsid w:val="00782DFE"/>
    <w:rsid w:val="0078330E"/>
    <w:rsid w:val="00783ACB"/>
    <w:rsid w:val="00785B58"/>
    <w:rsid w:val="00786B15"/>
    <w:rsid w:val="00787539"/>
    <w:rsid w:val="007914E6"/>
    <w:rsid w:val="00792972"/>
    <w:rsid w:val="00792C90"/>
    <w:rsid w:val="00793DAA"/>
    <w:rsid w:val="00793F3D"/>
    <w:rsid w:val="00795567"/>
    <w:rsid w:val="00795E06"/>
    <w:rsid w:val="0079752C"/>
    <w:rsid w:val="007A03FC"/>
    <w:rsid w:val="007A3DE2"/>
    <w:rsid w:val="007A4169"/>
    <w:rsid w:val="007A4D5E"/>
    <w:rsid w:val="007B0EEE"/>
    <w:rsid w:val="007C03F0"/>
    <w:rsid w:val="007C0A96"/>
    <w:rsid w:val="007C0F57"/>
    <w:rsid w:val="007C142F"/>
    <w:rsid w:val="007C3414"/>
    <w:rsid w:val="007C5098"/>
    <w:rsid w:val="007C5CFB"/>
    <w:rsid w:val="007C7BBE"/>
    <w:rsid w:val="007D1737"/>
    <w:rsid w:val="007D2499"/>
    <w:rsid w:val="007D4D0E"/>
    <w:rsid w:val="007D71AC"/>
    <w:rsid w:val="007D7FA0"/>
    <w:rsid w:val="007E2598"/>
    <w:rsid w:val="007E2BA5"/>
    <w:rsid w:val="007E3781"/>
    <w:rsid w:val="007E38B3"/>
    <w:rsid w:val="007E3DF9"/>
    <w:rsid w:val="007E60AA"/>
    <w:rsid w:val="007E7B13"/>
    <w:rsid w:val="007F10C9"/>
    <w:rsid w:val="007F1135"/>
    <w:rsid w:val="007F1187"/>
    <w:rsid w:val="007F1191"/>
    <w:rsid w:val="007F2CB4"/>
    <w:rsid w:val="007F30CA"/>
    <w:rsid w:val="007F54BB"/>
    <w:rsid w:val="007F737A"/>
    <w:rsid w:val="007F73F3"/>
    <w:rsid w:val="00801C5B"/>
    <w:rsid w:val="00802783"/>
    <w:rsid w:val="00802F34"/>
    <w:rsid w:val="00803B92"/>
    <w:rsid w:val="00805057"/>
    <w:rsid w:val="008070AD"/>
    <w:rsid w:val="008137AF"/>
    <w:rsid w:val="00815726"/>
    <w:rsid w:val="00815D54"/>
    <w:rsid w:val="00816197"/>
    <w:rsid w:val="00817101"/>
    <w:rsid w:val="0082199C"/>
    <w:rsid w:val="008224C1"/>
    <w:rsid w:val="008242CF"/>
    <w:rsid w:val="008245E5"/>
    <w:rsid w:val="008262F2"/>
    <w:rsid w:val="00826AF3"/>
    <w:rsid w:val="00830767"/>
    <w:rsid w:val="00830C50"/>
    <w:rsid w:val="00831645"/>
    <w:rsid w:val="00832D2E"/>
    <w:rsid w:val="0083339F"/>
    <w:rsid w:val="00833C8E"/>
    <w:rsid w:val="008343D9"/>
    <w:rsid w:val="00835B2F"/>
    <w:rsid w:val="00836691"/>
    <w:rsid w:val="0084042E"/>
    <w:rsid w:val="00840BAA"/>
    <w:rsid w:val="00843382"/>
    <w:rsid w:val="0084418D"/>
    <w:rsid w:val="00845BCC"/>
    <w:rsid w:val="008504F1"/>
    <w:rsid w:val="008533F0"/>
    <w:rsid w:val="00853C71"/>
    <w:rsid w:val="00853D99"/>
    <w:rsid w:val="008549C7"/>
    <w:rsid w:val="0085558A"/>
    <w:rsid w:val="00857CF2"/>
    <w:rsid w:val="008632C1"/>
    <w:rsid w:val="008639FD"/>
    <w:rsid w:val="008642BA"/>
    <w:rsid w:val="008646A5"/>
    <w:rsid w:val="00865AFE"/>
    <w:rsid w:val="00865B59"/>
    <w:rsid w:val="00866151"/>
    <w:rsid w:val="008661B1"/>
    <w:rsid w:val="00866D13"/>
    <w:rsid w:val="00866E78"/>
    <w:rsid w:val="00867E79"/>
    <w:rsid w:val="00870014"/>
    <w:rsid w:val="008732CA"/>
    <w:rsid w:val="00873E02"/>
    <w:rsid w:val="00874395"/>
    <w:rsid w:val="00875E9A"/>
    <w:rsid w:val="00877361"/>
    <w:rsid w:val="00877578"/>
    <w:rsid w:val="00877A1F"/>
    <w:rsid w:val="00885E74"/>
    <w:rsid w:val="00887ECD"/>
    <w:rsid w:val="008938F4"/>
    <w:rsid w:val="00894235"/>
    <w:rsid w:val="0089445C"/>
    <w:rsid w:val="00894BB2"/>
    <w:rsid w:val="008950BD"/>
    <w:rsid w:val="008957D2"/>
    <w:rsid w:val="00895FB0"/>
    <w:rsid w:val="00897BC8"/>
    <w:rsid w:val="008A30E5"/>
    <w:rsid w:val="008A3239"/>
    <w:rsid w:val="008A39F1"/>
    <w:rsid w:val="008A47C0"/>
    <w:rsid w:val="008A4CAA"/>
    <w:rsid w:val="008A6413"/>
    <w:rsid w:val="008A75E1"/>
    <w:rsid w:val="008B0821"/>
    <w:rsid w:val="008B1583"/>
    <w:rsid w:val="008B3465"/>
    <w:rsid w:val="008B45F4"/>
    <w:rsid w:val="008B5BD3"/>
    <w:rsid w:val="008B630C"/>
    <w:rsid w:val="008B650A"/>
    <w:rsid w:val="008B6C28"/>
    <w:rsid w:val="008C3228"/>
    <w:rsid w:val="008C39D9"/>
    <w:rsid w:val="008D1315"/>
    <w:rsid w:val="008D150E"/>
    <w:rsid w:val="008D2706"/>
    <w:rsid w:val="008D29F9"/>
    <w:rsid w:val="008D392E"/>
    <w:rsid w:val="008D3978"/>
    <w:rsid w:val="008D4CB5"/>
    <w:rsid w:val="008D50DD"/>
    <w:rsid w:val="008D633A"/>
    <w:rsid w:val="008D63CC"/>
    <w:rsid w:val="008D71B7"/>
    <w:rsid w:val="008D784D"/>
    <w:rsid w:val="008E2165"/>
    <w:rsid w:val="008E2A7C"/>
    <w:rsid w:val="008E5F18"/>
    <w:rsid w:val="008E6133"/>
    <w:rsid w:val="008E7465"/>
    <w:rsid w:val="008E78EA"/>
    <w:rsid w:val="008F12D7"/>
    <w:rsid w:val="008F13DE"/>
    <w:rsid w:val="008F27E0"/>
    <w:rsid w:val="008F28C4"/>
    <w:rsid w:val="008F32EC"/>
    <w:rsid w:val="008F79B5"/>
    <w:rsid w:val="00900771"/>
    <w:rsid w:val="00902915"/>
    <w:rsid w:val="00903744"/>
    <w:rsid w:val="00903CDC"/>
    <w:rsid w:val="009044B1"/>
    <w:rsid w:val="009109E6"/>
    <w:rsid w:val="00912F94"/>
    <w:rsid w:val="00914243"/>
    <w:rsid w:val="009158CE"/>
    <w:rsid w:val="009160B7"/>
    <w:rsid w:val="00916330"/>
    <w:rsid w:val="00916710"/>
    <w:rsid w:val="009169AD"/>
    <w:rsid w:val="00921585"/>
    <w:rsid w:val="00923CEF"/>
    <w:rsid w:val="00924C76"/>
    <w:rsid w:val="009265AD"/>
    <w:rsid w:val="009305D7"/>
    <w:rsid w:val="00932AA1"/>
    <w:rsid w:val="00932E45"/>
    <w:rsid w:val="00933023"/>
    <w:rsid w:val="00934B3F"/>
    <w:rsid w:val="00935B60"/>
    <w:rsid w:val="00937097"/>
    <w:rsid w:val="0094092A"/>
    <w:rsid w:val="0094319F"/>
    <w:rsid w:val="00943ED9"/>
    <w:rsid w:val="00945C14"/>
    <w:rsid w:val="009462D1"/>
    <w:rsid w:val="009468F4"/>
    <w:rsid w:val="0094792F"/>
    <w:rsid w:val="009509C4"/>
    <w:rsid w:val="00955011"/>
    <w:rsid w:val="00955E97"/>
    <w:rsid w:val="00955FBC"/>
    <w:rsid w:val="00957D2F"/>
    <w:rsid w:val="00957DBE"/>
    <w:rsid w:val="00960866"/>
    <w:rsid w:val="0096230F"/>
    <w:rsid w:val="009646C5"/>
    <w:rsid w:val="009657A8"/>
    <w:rsid w:val="00965D3C"/>
    <w:rsid w:val="00967557"/>
    <w:rsid w:val="0096765A"/>
    <w:rsid w:val="009727AA"/>
    <w:rsid w:val="00972B22"/>
    <w:rsid w:val="00976D2C"/>
    <w:rsid w:val="009770E0"/>
    <w:rsid w:val="00977633"/>
    <w:rsid w:val="009814CB"/>
    <w:rsid w:val="009871E4"/>
    <w:rsid w:val="0099169E"/>
    <w:rsid w:val="00992084"/>
    <w:rsid w:val="00992C77"/>
    <w:rsid w:val="00993065"/>
    <w:rsid w:val="009A1257"/>
    <w:rsid w:val="009A1F63"/>
    <w:rsid w:val="009A2E99"/>
    <w:rsid w:val="009A69AE"/>
    <w:rsid w:val="009A7F1C"/>
    <w:rsid w:val="009B19AF"/>
    <w:rsid w:val="009B1A36"/>
    <w:rsid w:val="009B254A"/>
    <w:rsid w:val="009B553E"/>
    <w:rsid w:val="009B5A3E"/>
    <w:rsid w:val="009B7007"/>
    <w:rsid w:val="009B77F6"/>
    <w:rsid w:val="009C0153"/>
    <w:rsid w:val="009C07CD"/>
    <w:rsid w:val="009C5D3F"/>
    <w:rsid w:val="009D0800"/>
    <w:rsid w:val="009D4937"/>
    <w:rsid w:val="009D506E"/>
    <w:rsid w:val="009D6CA2"/>
    <w:rsid w:val="009D73A5"/>
    <w:rsid w:val="009E09CF"/>
    <w:rsid w:val="009E1E81"/>
    <w:rsid w:val="009E337A"/>
    <w:rsid w:val="009E4668"/>
    <w:rsid w:val="009E4A10"/>
    <w:rsid w:val="009E4DDD"/>
    <w:rsid w:val="009E5143"/>
    <w:rsid w:val="009E76F2"/>
    <w:rsid w:val="009F0353"/>
    <w:rsid w:val="009F0CF6"/>
    <w:rsid w:val="009F156E"/>
    <w:rsid w:val="009F1ECA"/>
    <w:rsid w:val="009F6E3E"/>
    <w:rsid w:val="00A00C61"/>
    <w:rsid w:val="00A01B90"/>
    <w:rsid w:val="00A03923"/>
    <w:rsid w:val="00A05078"/>
    <w:rsid w:val="00A05110"/>
    <w:rsid w:val="00A0656B"/>
    <w:rsid w:val="00A10484"/>
    <w:rsid w:val="00A1142F"/>
    <w:rsid w:val="00A1572E"/>
    <w:rsid w:val="00A17065"/>
    <w:rsid w:val="00A20939"/>
    <w:rsid w:val="00A21AA8"/>
    <w:rsid w:val="00A2295D"/>
    <w:rsid w:val="00A22D2B"/>
    <w:rsid w:val="00A2388D"/>
    <w:rsid w:val="00A23944"/>
    <w:rsid w:val="00A2462A"/>
    <w:rsid w:val="00A24E7A"/>
    <w:rsid w:val="00A25366"/>
    <w:rsid w:val="00A25DC9"/>
    <w:rsid w:val="00A27470"/>
    <w:rsid w:val="00A313D8"/>
    <w:rsid w:val="00A318AC"/>
    <w:rsid w:val="00A32265"/>
    <w:rsid w:val="00A32283"/>
    <w:rsid w:val="00A3669D"/>
    <w:rsid w:val="00A3673E"/>
    <w:rsid w:val="00A376FF"/>
    <w:rsid w:val="00A409AC"/>
    <w:rsid w:val="00A41FEE"/>
    <w:rsid w:val="00A4269B"/>
    <w:rsid w:val="00A43CF5"/>
    <w:rsid w:val="00A4597E"/>
    <w:rsid w:val="00A46CFE"/>
    <w:rsid w:val="00A471B6"/>
    <w:rsid w:val="00A47442"/>
    <w:rsid w:val="00A5095C"/>
    <w:rsid w:val="00A53CB8"/>
    <w:rsid w:val="00A54325"/>
    <w:rsid w:val="00A54BE5"/>
    <w:rsid w:val="00A57102"/>
    <w:rsid w:val="00A60D51"/>
    <w:rsid w:val="00A61E79"/>
    <w:rsid w:val="00A622F5"/>
    <w:rsid w:val="00A626DD"/>
    <w:rsid w:val="00A637B9"/>
    <w:rsid w:val="00A64159"/>
    <w:rsid w:val="00A6486C"/>
    <w:rsid w:val="00A64AB5"/>
    <w:rsid w:val="00A66A26"/>
    <w:rsid w:val="00A70ECD"/>
    <w:rsid w:val="00A73FB6"/>
    <w:rsid w:val="00A74417"/>
    <w:rsid w:val="00A74692"/>
    <w:rsid w:val="00A76CF3"/>
    <w:rsid w:val="00A813A3"/>
    <w:rsid w:val="00A8143D"/>
    <w:rsid w:val="00A83149"/>
    <w:rsid w:val="00A85AA2"/>
    <w:rsid w:val="00A85D97"/>
    <w:rsid w:val="00A85F23"/>
    <w:rsid w:val="00A900AF"/>
    <w:rsid w:val="00A91281"/>
    <w:rsid w:val="00A938DF"/>
    <w:rsid w:val="00A94A21"/>
    <w:rsid w:val="00A94C35"/>
    <w:rsid w:val="00A96940"/>
    <w:rsid w:val="00A971CA"/>
    <w:rsid w:val="00AA0A4A"/>
    <w:rsid w:val="00AA4880"/>
    <w:rsid w:val="00AA49F0"/>
    <w:rsid w:val="00AA563C"/>
    <w:rsid w:val="00AA5F01"/>
    <w:rsid w:val="00AA694E"/>
    <w:rsid w:val="00AA6C81"/>
    <w:rsid w:val="00AA7AF6"/>
    <w:rsid w:val="00AA7C01"/>
    <w:rsid w:val="00AB27F6"/>
    <w:rsid w:val="00AB3BB1"/>
    <w:rsid w:val="00AB4CBA"/>
    <w:rsid w:val="00AB59D6"/>
    <w:rsid w:val="00AB77EF"/>
    <w:rsid w:val="00AB78B0"/>
    <w:rsid w:val="00AC02E6"/>
    <w:rsid w:val="00AC2107"/>
    <w:rsid w:val="00AC2961"/>
    <w:rsid w:val="00AC3323"/>
    <w:rsid w:val="00AC70D6"/>
    <w:rsid w:val="00AC7638"/>
    <w:rsid w:val="00AD33EE"/>
    <w:rsid w:val="00AD3B46"/>
    <w:rsid w:val="00AD4026"/>
    <w:rsid w:val="00AD48FA"/>
    <w:rsid w:val="00AD5ECF"/>
    <w:rsid w:val="00AD5F47"/>
    <w:rsid w:val="00AD5FE4"/>
    <w:rsid w:val="00AD6AA1"/>
    <w:rsid w:val="00AE123C"/>
    <w:rsid w:val="00AE18E5"/>
    <w:rsid w:val="00AE47DE"/>
    <w:rsid w:val="00AE77E8"/>
    <w:rsid w:val="00AE7AD6"/>
    <w:rsid w:val="00AE7E56"/>
    <w:rsid w:val="00AF0A48"/>
    <w:rsid w:val="00AF28AB"/>
    <w:rsid w:val="00AF3480"/>
    <w:rsid w:val="00AF3B20"/>
    <w:rsid w:val="00AF7544"/>
    <w:rsid w:val="00B01803"/>
    <w:rsid w:val="00B027EC"/>
    <w:rsid w:val="00B0329F"/>
    <w:rsid w:val="00B032EB"/>
    <w:rsid w:val="00B051DB"/>
    <w:rsid w:val="00B074A5"/>
    <w:rsid w:val="00B16305"/>
    <w:rsid w:val="00B21654"/>
    <w:rsid w:val="00B21DBD"/>
    <w:rsid w:val="00B22F96"/>
    <w:rsid w:val="00B3035E"/>
    <w:rsid w:val="00B31C9E"/>
    <w:rsid w:val="00B31EE4"/>
    <w:rsid w:val="00B35B78"/>
    <w:rsid w:val="00B362D9"/>
    <w:rsid w:val="00B406C7"/>
    <w:rsid w:val="00B40A82"/>
    <w:rsid w:val="00B40D8C"/>
    <w:rsid w:val="00B42010"/>
    <w:rsid w:val="00B43409"/>
    <w:rsid w:val="00B43485"/>
    <w:rsid w:val="00B5264C"/>
    <w:rsid w:val="00B52AD3"/>
    <w:rsid w:val="00B52C2C"/>
    <w:rsid w:val="00B54E79"/>
    <w:rsid w:val="00B557CE"/>
    <w:rsid w:val="00B56A38"/>
    <w:rsid w:val="00B575A5"/>
    <w:rsid w:val="00B57F2B"/>
    <w:rsid w:val="00B61928"/>
    <w:rsid w:val="00B61F11"/>
    <w:rsid w:val="00B63CF4"/>
    <w:rsid w:val="00B67768"/>
    <w:rsid w:val="00B67948"/>
    <w:rsid w:val="00B67E4F"/>
    <w:rsid w:val="00B67E89"/>
    <w:rsid w:val="00B70735"/>
    <w:rsid w:val="00B7365B"/>
    <w:rsid w:val="00B73D47"/>
    <w:rsid w:val="00B76457"/>
    <w:rsid w:val="00B80251"/>
    <w:rsid w:val="00B80417"/>
    <w:rsid w:val="00B80DEA"/>
    <w:rsid w:val="00B80EFC"/>
    <w:rsid w:val="00B821D7"/>
    <w:rsid w:val="00B84759"/>
    <w:rsid w:val="00B84F9F"/>
    <w:rsid w:val="00B9197D"/>
    <w:rsid w:val="00B93F57"/>
    <w:rsid w:val="00B94471"/>
    <w:rsid w:val="00B94A33"/>
    <w:rsid w:val="00B97A8C"/>
    <w:rsid w:val="00BA12BD"/>
    <w:rsid w:val="00BA464D"/>
    <w:rsid w:val="00BA5A3A"/>
    <w:rsid w:val="00BA6994"/>
    <w:rsid w:val="00BA7066"/>
    <w:rsid w:val="00BA724A"/>
    <w:rsid w:val="00BB0640"/>
    <w:rsid w:val="00BB3655"/>
    <w:rsid w:val="00BB485B"/>
    <w:rsid w:val="00BB6BF8"/>
    <w:rsid w:val="00BC0439"/>
    <w:rsid w:val="00BC3114"/>
    <w:rsid w:val="00BC3304"/>
    <w:rsid w:val="00BC3465"/>
    <w:rsid w:val="00BC4B1C"/>
    <w:rsid w:val="00BC5281"/>
    <w:rsid w:val="00BC72CA"/>
    <w:rsid w:val="00BC7F7B"/>
    <w:rsid w:val="00BD2D47"/>
    <w:rsid w:val="00BD4535"/>
    <w:rsid w:val="00BD5222"/>
    <w:rsid w:val="00BD5E74"/>
    <w:rsid w:val="00BD6A45"/>
    <w:rsid w:val="00BD7C3F"/>
    <w:rsid w:val="00BE0478"/>
    <w:rsid w:val="00BE1F8E"/>
    <w:rsid w:val="00BE2D86"/>
    <w:rsid w:val="00BE3088"/>
    <w:rsid w:val="00BE463E"/>
    <w:rsid w:val="00BF0048"/>
    <w:rsid w:val="00BF1BF5"/>
    <w:rsid w:val="00BF20C1"/>
    <w:rsid w:val="00BF421E"/>
    <w:rsid w:val="00BF4545"/>
    <w:rsid w:val="00BF45B2"/>
    <w:rsid w:val="00BF4BAB"/>
    <w:rsid w:val="00BF4C0B"/>
    <w:rsid w:val="00BF50D4"/>
    <w:rsid w:val="00BF5277"/>
    <w:rsid w:val="00BF54E9"/>
    <w:rsid w:val="00BF61AF"/>
    <w:rsid w:val="00C07238"/>
    <w:rsid w:val="00C10AB4"/>
    <w:rsid w:val="00C10F3D"/>
    <w:rsid w:val="00C12D95"/>
    <w:rsid w:val="00C134AF"/>
    <w:rsid w:val="00C170CC"/>
    <w:rsid w:val="00C17654"/>
    <w:rsid w:val="00C2011E"/>
    <w:rsid w:val="00C20331"/>
    <w:rsid w:val="00C226BF"/>
    <w:rsid w:val="00C273DC"/>
    <w:rsid w:val="00C276E4"/>
    <w:rsid w:val="00C3150F"/>
    <w:rsid w:val="00C33DAB"/>
    <w:rsid w:val="00C33E44"/>
    <w:rsid w:val="00C34977"/>
    <w:rsid w:val="00C34A11"/>
    <w:rsid w:val="00C36506"/>
    <w:rsid w:val="00C372D6"/>
    <w:rsid w:val="00C45214"/>
    <w:rsid w:val="00C46AFD"/>
    <w:rsid w:val="00C46B58"/>
    <w:rsid w:val="00C474EF"/>
    <w:rsid w:val="00C502C9"/>
    <w:rsid w:val="00C506CA"/>
    <w:rsid w:val="00C50DB8"/>
    <w:rsid w:val="00C51D16"/>
    <w:rsid w:val="00C524B1"/>
    <w:rsid w:val="00C52988"/>
    <w:rsid w:val="00C5627C"/>
    <w:rsid w:val="00C57FAF"/>
    <w:rsid w:val="00C608FD"/>
    <w:rsid w:val="00C60999"/>
    <w:rsid w:val="00C609C2"/>
    <w:rsid w:val="00C62A01"/>
    <w:rsid w:val="00C62ADD"/>
    <w:rsid w:val="00C62CD8"/>
    <w:rsid w:val="00C632D5"/>
    <w:rsid w:val="00C63A22"/>
    <w:rsid w:val="00C650FD"/>
    <w:rsid w:val="00C657C0"/>
    <w:rsid w:val="00C665E3"/>
    <w:rsid w:val="00C66C45"/>
    <w:rsid w:val="00C66F9F"/>
    <w:rsid w:val="00C73572"/>
    <w:rsid w:val="00C74657"/>
    <w:rsid w:val="00C770F7"/>
    <w:rsid w:val="00C81610"/>
    <w:rsid w:val="00C81802"/>
    <w:rsid w:val="00C84439"/>
    <w:rsid w:val="00C86341"/>
    <w:rsid w:val="00C86366"/>
    <w:rsid w:val="00C87227"/>
    <w:rsid w:val="00C876BB"/>
    <w:rsid w:val="00C91488"/>
    <w:rsid w:val="00C93306"/>
    <w:rsid w:val="00C94A7A"/>
    <w:rsid w:val="00C94EB4"/>
    <w:rsid w:val="00C9637E"/>
    <w:rsid w:val="00CA14D4"/>
    <w:rsid w:val="00CA3428"/>
    <w:rsid w:val="00CA41FD"/>
    <w:rsid w:val="00CB006C"/>
    <w:rsid w:val="00CB0602"/>
    <w:rsid w:val="00CB426E"/>
    <w:rsid w:val="00CB4515"/>
    <w:rsid w:val="00CB4787"/>
    <w:rsid w:val="00CB5CC3"/>
    <w:rsid w:val="00CB6304"/>
    <w:rsid w:val="00CB6F5A"/>
    <w:rsid w:val="00CB75CB"/>
    <w:rsid w:val="00CB7ADE"/>
    <w:rsid w:val="00CC0040"/>
    <w:rsid w:val="00CC0D22"/>
    <w:rsid w:val="00CC3E30"/>
    <w:rsid w:val="00CC6CB6"/>
    <w:rsid w:val="00CD078F"/>
    <w:rsid w:val="00CD22CB"/>
    <w:rsid w:val="00CD721C"/>
    <w:rsid w:val="00CD7A5C"/>
    <w:rsid w:val="00CE18C0"/>
    <w:rsid w:val="00CE19F2"/>
    <w:rsid w:val="00CE1B40"/>
    <w:rsid w:val="00CE2928"/>
    <w:rsid w:val="00CE2FA7"/>
    <w:rsid w:val="00CE67D7"/>
    <w:rsid w:val="00CF0347"/>
    <w:rsid w:val="00CF07D8"/>
    <w:rsid w:val="00CF08CB"/>
    <w:rsid w:val="00CF181E"/>
    <w:rsid w:val="00CF2A3F"/>
    <w:rsid w:val="00CF3F2D"/>
    <w:rsid w:val="00CF498B"/>
    <w:rsid w:val="00CF506A"/>
    <w:rsid w:val="00CF62EA"/>
    <w:rsid w:val="00CF6690"/>
    <w:rsid w:val="00CF7180"/>
    <w:rsid w:val="00CF73D3"/>
    <w:rsid w:val="00D0039B"/>
    <w:rsid w:val="00D01178"/>
    <w:rsid w:val="00D059B2"/>
    <w:rsid w:val="00D06A6E"/>
    <w:rsid w:val="00D06B84"/>
    <w:rsid w:val="00D1416A"/>
    <w:rsid w:val="00D15BDD"/>
    <w:rsid w:val="00D164D0"/>
    <w:rsid w:val="00D216FF"/>
    <w:rsid w:val="00D21F08"/>
    <w:rsid w:val="00D224D0"/>
    <w:rsid w:val="00D23BC4"/>
    <w:rsid w:val="00D23F95"/>
    <w:rsid w:val="00D24EC1"/>
    <w:rsid w:val="00D25FCE"/>
    <w:rsid w:val="00D26CC6"/>
    <w:rsid w:val="00D30C20"/>
    <w:rsid w:val="00D30E02"/>
    <w:rsid w:val="00D315C5"/>
    <w:rsid w:val="00D3360E"/>
    <w:rsid w:val="00D34D18"/>
    <w:rsid w:val="00D36141"/>
    <w:rsid w:val="00D36B87"/>
    <w:rsid w:val="00D37718"/>
    <w:rsid w:val="00D4048D"/>
    <w:rsid w:val="00D40F36"/>
    <w:rsid w:val="00D439C2"/>
    <w:rsid w:val="00D457F2"/>
    <w:rsid w:val="00D51602"/>
    <w:rsid w:val="00D5208B"/>
    <w:rsid w:val="00D52519"/>
    <w:rsid w:val="00D52718"/>
    <w:rsid w:val="00D533C2"/>
    <w:rsid w:val="00D56360"/>
    <w:rsid w:val="00D573C1"/>
    <w:rsid w:val="00D57627"/>
    <w:rsid w:val="00D60084"/>
    <w:rsid w:val="00D60A94"/>
    <w:rsid w:val="00D614A8"/>
    <w:rsid w:val="00D622C3"/>
    <w:rsid w:val="00D6372E"/>
    <w:rsid w:val="00D654EC"/>
    <w:rsid w:val="00D65971"/>
    <w:rsid w:val="00D66379"/>
    <w:rsid w:val="00D66689"/>
    <w:rsid w:val="00D6741F"/>
    <w:rsid w:val="00D7013F"/>
    <w:rsid w:val="00D7217C"/>
    <w:rsid w:val="00D72829"/>
    <w:rsid w:val="00D82A58"/>
    <w:rsid w:val="00D833A1"/>
    <w:rsid w:val="00D85C15"/>
    <w:rsid w:val="00D85D79"/>
    <w:rsid w:val="00D871C7"/>
    <w:rsid w:val="00D8788C"/>
    <w:rsid w:val="00D90151"/>
    <w:rsid w:val="00D911A0"/>
    <w:rsid w:val="00D91AAD"/>
    <w:rsid w:val="00D930BB"/>
    <w:rsid w:val="00D93D3D"/>
    <w:rsid w:val="00D9520B"/>
    <w:rsid w:val="00DA20A0"/>
    <w:rsid w:val="00DA2572"/>
    <w:rsid w:val="00DA2D8A"/>
    <w:rsid w:val="00DA2E49"/>
    <w:rsid w:val="00DA32C6"/>
    <w:rsid w:val="00DA5C5F"/>
    <w:rsid w:val="00DA6CA2"/>
    <w:rsid w:val="00DB19BC"/>
    <w:rsid w:val="00DB1EE8"/>
    <w:rsid w:val="00DB6DB3"/>
    <w:rsid w:val="00DC1413"/>
    <w:rsid w:val="00DC3F3B"/>
    <w:rsid w:val="00DC4350"/>
    <w:rsid w:val="00DC542A"/>
    <w:rsid w:val="00DC5919"/>
    <w:rsid w:val="00DC6BD8"/>
    <w:rsid w:val="00DC7F01"/>
    <w:rsid w:val="00DD1DAE"/>
    <w:rsid w:val="00DD3A3F"/>
    <w:rsid w:val="00DD4664"/>
    <w:rsid w:val="00DD677F"/>
    <w:rsid w:val="00DD705D"/>
    <w:rsid w:val="00DE095B"/>
    <w:rsid w:val="00DE2628"/>
    <w:rsid w:val="00DE286C"/>
    <w:rsid w:val="00DE47D9"/>
    <w:rsid w:val="00DE56C2"/>
    <w:rsid w:val="00DE5DB9"/>
    <w:rsid w:val="00DE7536"/>
    <w:rsid w:val="00DF014D"/>
    <w:rsid w:val="00DF1314"/>
    <w:rsid w:val="00DF16A3"/>
    <w:rsid w:val="00DF1D5E"/>
    <w:rsid w:val="00DF2700"/>
    <w:rsid w:val="00DF2BCC"/>
    <w:rsid w:val="00DF46C1"/>
    <w:rsid w:val="00DF61B1"/>
    <w:rsid w:val="00E004DE"/>
    <w:rsid w:val="00E029CC"/>
    <w:rsid w:val="00E077E3"/>
    <w:rsid w:val="00E10FA1"/>
    <w:rsid w:val="00E12A56"/>
    <w:rsid w:val="00E14488"/>
    <w:rsid w:val="00E17691"/>
    <w:rsid w:val="00E1778D"/>
    <w:rsid w:val="00E25B43"/>
    <w:rsid w:val="00E31739"/>
    <w:rsid w:val="00E32B6D"/>
    <w:rsid w:val="00E33758"/>
    <w:rsid w:val="00E34D4E"/>
    <w:rsid w:val="00E35867"/>
    <w:rsid w:val="00E3629E"/>
    <w:rsid w:val="00E376E4"/>
    <w:rsid w:val="00E41DF7"/>
    <w:rsid w:val="00E454EE"/>
    <w:rsid w:val="00E45D89"/>
    <w:rsid w:val="00E466A2"/>
    <w:rsid w:val="00E46C31"/>
    <w:rsid w:val="00E47DCD"/>
    <w:rsid w:val="00E5070C"/>
    <w:rsid w:val="00E50FF7"/>
    <w:rsid w:val="00E51463"/>
    <w:rsid w:val="00E52F6A"/>
    <w:rsid w:val="00E5357A"/>
    <w:rsid w:val="00E54E29"/>
    <w:rsid w:val="00E56904"/>
    <w:rsid w:val="00E60320"/>
    <w:rsid w:val="00E608C3"/>
    <w:rsid w:val="00E62155"/>
    <w:rsid w:val="00E62335"/>
    <w:rsid w:val="00E62574"/>
    <w:rsid w:val="00E635A2"/>
    <w:rsid w:val="00E63D49"/>
    <w:rsid w:val="00E64116"/>
    <w:rsid w:val="00E65469"/>
    <w:rsid w:val="00E67CE5"/>
    <w:rsid w:val="00E700A0"/>
    <w:rsid w:val="00E70B4E"/>
    <w:rsid w:val="00E721FE"/>
    <w:rsid w:val="00E74B9B"/>
    <w:rsid w:val="00E8382C"/>
    <w:rsid w:val="00E866C2"/>
    <w:rsid w:val="00E916E9"/>
    <w:rsid w:val="00E9228F"/>
    <w:rsid w:val="00E9281A"/>
    <w:rsid w:val="00E96989"/>
    <w:rsid w:val="00E96D14"/>
    <w:rsid w:val="00E97A76"/>
    <w:rsid w:val="00EA0575"/>
    <w:rsid w:val="00EA09E2"/>
    <w:rsid w:val="00EA3387"/>
    <w:rsid w:val="00EA3FF4"/>
    <w:rsid w:val="00EA52C0"/>
    <w:rsid w:val="00EA588C"/>
    <w:rsid w:val="00EA58A2"/>
    <w:rsid w:val="00EA5EC6"/>
    <w:rsid w:val="00EA7464"/>
    <w:rsid w:val="00EB3353"/>
    <w:rsid w:val="00EB3C23"/>
    <w:rsid w:val="00EB56C8"/>
    <w:rsid w:val="00EB5AA0"/>
    <w:rsid w:val="00EB677D"/>
    <w:rsid w:val="00EB7492"/>
    <w:rsid w:val="00EB76C3"/>
    <w:rsid w:val="00EB77FB"/>
    <w:rsid w:val="00EC0520"/>
    <w:rsid w:val="00EC0C2B"/>
    <w:rsid w:val="00EC0D2D"/>
    <w:rsid w:val="00EC2139"/>
    <w:rsid w:val="00EC2871"/>
    <w:rsid w:val="00EC452F"/>
    <w:rsid w:val="00EC49E0"/>
    <w:rsid w:val="00EC532E"/>
    <w:rsid w:val="00ED09DA"/>
    <w:rsid w:val="00ED12D5"/>
    <w:rsid w:val="00ED2886"/>
    <w:rsid w:val="00ED2F7E"/>
    <w:rsid w:val="00ED4239"/>
    <w:rsid w:val="00ED4614"/>
    <w:rsid w:val="00ED5A3F"/>
    <w:rsid w:val="00ED75A7"/>
    <w:rsid w:val="00ED7740"/>
    <w:rsid w:val="00ED7812"/>
    <w:rsid w:val="00EE136B"/>
    <w:rsid w:val="00EE7239"/>
    <w:rsid w:val="00EF0551"/>
    <w:rsid w:val="00EF1F18"/>
    <w:rsid w:val="00EF31EE"/>
    <w:rsid w:val="00EF351C"/>
    <w:rsid w:val="00EF4A6A"/>
    <w:rsid w:val="00EF55FC"/>
    <w:rsid w:val="00EF6C2C"/>
    <w:rsid w:val="00F000AC"/>
    <w:rsid w:val="00F01409"/>
    <w:rsid w:val="00F0575C"/>
    <w:rsid w:val="00F06068"/>
    <w:rsid w:val="00F06DA2"/>
    <w:rsid w:val="00F10908"/>
    <w:rsid w:val="00F10EEF"/>
    <w:rsid w:val="00F11362"/>
    <w:rsid w:val="00F12ABE"/>
    <w:rsid w:val="00F13DA8"/>
    <w:rsid w:val="00F157E9"/>
    <w:rsid w:val="00F17249"/>
    <w:rsid w:val="00F17A0F"/>
    <w:rsid w:val="00F20C91"/>
    <w:rsid w:val="00F20E48"/>
    <w:rsid w:val="00F21062"/>
    <w:rsid w:val="00F2256C"/>
    <w:rsid w:val="00F22763"/>
    <w:rsid w:val="00F228F7"/>
    <w:rsid w:val="00F23093"/>
    <w:rsid w:val="00F23E4D"/>
    <w:rsid w:val="00F26091"/>
    <w:rsid w:val="00F261CD"/>
    <w:rsid w:val="00F2731C"/>
    <w:rsid w:val="00F344AE"/>
    <w:rsid w:val="00F35E5A"/>
    <w:rsid w:val="00F36F30"/>
    <w:rsid w:val="00F3765F"/>
    <w:rsid w:val="00F401B5"/>
    <w:rsid w:val="00F41A1E"/>
    <w:rsid w:val="00F456E1"/>
    <w:rsid w:val="00F46C25"/>
    <w:rsid w:val="00F4714A"/>
    <w:rsid w:val="00F47800"/>
    <w:rsid w:val="00F50B33"/>
    <w:rsid w:val="00F51A49"/>
    <w:rsid w:val="00F5330E"/>
    <w:rsid w:val="00F57106"/>
    <w:rsid w:val="00F579A7"/>
    <w:rsid w:val="00F61A48"/>
    <w:rsid w:val="00F6339F"/>
    <w:rsid w:val="00F63814"/>
    <w:rsid w:val="00F639EE"/>
    <w:rsid w:val="00F64D32"/>
    <w:rsid w:val="00F65F38"/>
    <w:rsid w:val="00F6684E"/>
    <w:rsid w:val="00F66E65"/>
    <w:rsid w:val="00F700FF"/>
    <w:rsid w:val="00F74430"/>
    <w:rsid w:val="00F76BDF"/>
    <w:rsid w:val="00F76FB7"/>
    <w:rsid w:val="00F80F90"/>
    <w:rsid w:val="00F8273E"/>
    <w:rsid w:val="00F84A9F"/>
    <w:rsid w:val="00F8542F"/>
    <w:rsid w:val="00F86A24"/>
    <w:rsid w:val="00F86A6C"/>
    <w:rsid w:val="00F91016"/>
    <w:rsid w:val="00F91D38"/>
    <w:rsid w:val="00F91DA6"/>
    <w:rsid w:val="00F9214B"/>
    <w:rsid w:val="00F92EED"/>
    <w:rsid w:val="00F93295"/>
    <w:rsid w:val="00F942F4"/>
    <w:rsid w:val="00F9643D"/>
    <w:rsid w:val="00F96B78"/>
    <w:rsid w:val="00F97B44"/>
    <w:rsid w:val="00FA046F"/>
    <w:rsid w:val="00FA1BC9"/>
    <w:rsid w:val="00FA5164"/>
    <w:rsid w:val="00FA51D9"/>
    <w:rsid w:val="00FA5DF3"/>
    <w:rsid w:val="00FA60E8"/>
    <w:rsid w:val="00FA673A"/>
    <w:rsid w:val="00FB06B4"/>
    <w:rsid w:val="00FB09E5"/>
    <w:rsid w:val="00FB0AB2"/>
    <w:rsid w:val="00FB200B"/>
    <w:rsid w:val="00FB39D9"/>
    <w:rsid w:val="00FB3A2A"/>
    <w:rsid w:val="00FB3C3F"/>
    <w:rsid w:val="00FB426B"/>
    <w:rsid w:val="00FB4392"/>
    <w:rsid w:val="00FB70D8"/>
    <w:rsid w:val="00FB76CF"/>
    <w:rsid w:val="00FB776E"/>
    <w:rsid w:val="00FC0635"/>
    <w:rsid w:val="00FC12DC"/>
    <w:rsid w:val="00FC14C1"/>
    <w:rsid w:val="00FC51AE"/>
    <w:rsid w:val="00FC6FD3"/>
    <w:rsid w:val="00FD0CF5"/>
    <w:rsid w:val="00FD2063"/>
    <w:rsid w:val="00FD20D3"/>
    <w:rsid w:val="00FD37FF"/>
    <w:rsid w:val="00FD4637"/>
    <w:rsid w:val="00FD52F3"/>
    <w:rsid w:val="00FE04A7"/>
    <w:rsid w:val="00FE1FC6"/>
    <w:rsid w:val="00FE2FD4"/>
    <w:rsid w:val="00FE3198"/>
    <w:rsid w:val="00FE355E"/>
    <w:rsid w:val="00FE377F"/>
    <w:rsid w:val="00FE58B9"/>
    <w:rsid w:val="00FF3035"/>
    <w:rsid w:val="00FF3A2E"/>
    <w:rsid w:val="00FF5979"/>
    <w:rsid w:val="00FF5993"/>
    <w:rsid w:val="016D554C"/>
    <w:rsid w:val="02192F22"/>
    <w:rsid w:val="02832A46"/>
    <w:rsid w:val="02F239FA"/>
    <w:rsid w:val="04E561D6"/>
    <w:rsid w:val="053E547F"/>
    <w:rsid w:val="09D82088"/>
    <w:rsid w:val="0A801619"/>
    <w:rsid w:val="0F31543B"/>
    <w:rsid w:val="13501DE8"/>
    <w:rsid w:val="163A2FC4"/>
    <w:rsid w:val="170705F5"/>
    <w:rsid w:val="1CD31A7D"/>
    <w:rsid w:val="1E253B53"/>
    <w:rsid w:val="200A1C59"/>
    <w:rsid w:val="21336F8E"/>
    <w:rsid w:val="213C22E6"/>
    <w:rsid w:val="21963C10"/>
    <w:rsid w:val="279F57E7"/>
    <w:rsid w:val="27D16ECE"/>
    <w:rsid w:val="28F434A6"/>
    <w:rsid w:val="29D07A70"/>
    <w:rsid w:val="2A0425BB"/>
    <w:rsid w:val="2A5A37DD"/>
    <w:rsid w:val="2A943F3D"/>
    <w:rsid w:val="2CDF6567"/>
    <w:rsid w:val="2F3E7538"/>
    <w:rsid w:val="314F3970"/>
    <w:rsid w:val="35847960"/>
    <w:rsid w:val="35F5509A"/>
    <w:rsid w:val="366538CF"/>
    <w:rsid w:val="369457D3"/>
    <w:rsid w:val="38262F51"/>
    <w:rsid w:val="38A071A7"/>
    <w:rsid w:val="3A1A6AE5"/>
    <w:rsid w:val="3AFD443D"/>
    <w:rsid w:val="3D956BAE"/>
    <w:rsid w:val="4021116E"/>
    <w:rsid w:val="406A3FA8"/>
    <w:rsid w:val="41735459"/>
    <w:rsid w:val="421B33FA"/>
    <w:rsid w:val="42A32126"/>
    <w:rsid w:val="480037BE"/>
    <w:rsid w:val="48693111"/>
    <w:rsid w:val="4FF07271"/>
    <w:rsid w:val="51145BE4"/>
    <w:rsid w:val="529B550F"/>
    <w:rsid w:val="550F5041"/>
    <w:rsid w:val="556A757A"/>
    <w:rsid w:val="559068A3"/>
    <w:rsid w:val="5937326A"/>
    <w:rsid w:val="5A2A0227"/>
    <w:rsid w:val="5C225A8B"/>
    <w:rsid w:val="615F212E"/>
    <w:rsid w:val="66326DE1"/>
    <w:rsid w:val="6A2353BE"/>
    <w:rsid w:val="71D11A2D"/>
    <w:rsid w:val="71F323AC"/>
    <w:rsid w:val="748462FB"/>
    <w:rsid w:val="75082513"/>
    <w:rsid w:val="79FA2D00"/>
    <w:rsid w:val="7A8F6158"/>
    <w:rsid w:val="7A9B4AFD"/>
    <w:rsid w:val="7C281305"/>
    <w:rsid w:val="7EEC10E4"/>
    <w:rsid w:val="7F4577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60" w:lineRule="exact"/>
      <w:ind w:firstLine="200" w:firstLineChars="200"/>
      <w:jc w:val="both"/>
    </w:pPr>
    <w:rPr>
      <w:rFonts w:ascii="Times New Roman" w:hAnsi="Times New Roman" w:eastAsia="仿宋" w:cs="Times New Roman"/>
      <w:kern w:val="2"/>
      <w:sz w:val="28"/>
      <w:szCs w:val="24"/>
      <w:lang w:val="en-US" w:eastAsia="zh-CN" w:bidi="ar-SA"/>
    </w:rPr>
  </w:style>
  <w:style w:type="paragraph" w:styleId="2">
    <w:name w:val="heading 1"/>
    <w:basedOn w:val="1"/>
    <w:next w:val="1"/>
    <w:link w:val="19"/>
    <w:qFormat/>
    <w:uiPriority w:val="0"/>
    <w:pPr>
      <w:keepNext/>
      <w:keepLines/>
      <w:outlineLvl w:val="0"/>
    </w:pPr>
    <w:rPr>
      <w:b/>
      <w:bCs/>
      <w:kern w:val="44"/>
      <w:szCs w:val="44"/>
    </w:rPr>
  </w:style>
  <w:style w:type="paragraph" w:styleId="3">
    <w:name w:val="heading 2"/>
    <w:basedOn w:val="1"/>
    <w:next w:val="1"/>
    <w:link w:val="20"/>
    <w:qFormat/>
    <w:uiPriority w:val="0"/>
    <w:pPr>
      <w:keepNext/>
      <w:keepLines/>
      <w:outlineLvl w:val="1"/>
    </w:pPr>
    <w:rPr>
      <w:rFonts w:ascii="等线 Light" w:hAnsi="等线 Light"/>
      <w:b/>
      <w:bCs/>
      <w:szCs w:val="32"/>
    </w:rPr>
  </w:style>
  <w:style w:type="paragraph" w:styleId="4">
    <w:name w:val="heading 3"/>
    <w:basedOn w:val="1"/>
    <w:next w:val="1"/>
    <w:link w:val="21"/>
    <w:qFormat/>
    <w:uiPriority w:val="0"/>
    <w:pPr>
      <w:keepNext/>
      <w:keepLines/>
      <w:spacing w:before="260" w:after="260" w:line="416" w:lineRule="atLeast"/>
      <w:outlineLvl w:val="2"/>
    </w:pPr>
    <w:rPr>
      <w:b/>
      <w:bCs/>
      <w:sz w:val="32"/>
      <w:szCs w:val="32"/>
    </w:rPr>
  </w:style>
  <w:style w:type="character" w:default="1" w:styleId="16">
    <w:name w:val="Default Paragraph Font"/>
    <w:semiHidden/>
    <w:unhideWhenUsed/>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5">
    <w:name w:val="caption"/>
    <w:basedOn w:val="1"/>
    <w:next w:val="1"/>
    <w:qFormat/>
    <w:uiPriority w:val="0"/>
    <w:pPr>
      <w:ind w:firstLine="0" w:firstLineChars="0"/>
      <w:jc w:val="center"/>
    </w:pPr>
    <w:rPr>
      <w:rFonts w:ascii="等线 Light" w:hAnsi="等线 Light"/>
      <w:b/>
      <w:sz w:val="24"/>
      <w:szCs w:val="20"/>
    </w:rPr>
  </w:style>
  <w:style w:type="paragraph" w:styleId="6">
    <w:name w:val="Body Text"/>
    <w:basedOn w:val="1"/>
    <w:qFormat/>
    <w:uiPriority w:val="0"/>
    <w:pPr>
      <w:spacing w:line="440" w:lineRule="exact"/>
    </w:pPr>
    <w:rPr>
      <w:rFonts w:eastAsia="仿宋体"/>
      <w:sz w:val="32"/>
      <w:szCs w:val="20"/>
    </w:rPr>
  </w:style>
  <w:style w:type="paragraph" w:styleId="7">
    <w:name w:val="toc 3"/>
    <w:basedOn w:val="1"/>
    <w:next w:val="1"/>
    <w:qFormat/>
    <w:uiPriority w:val="39"/>
    <w:pPr>
      <w:ind w:left="840" w:leftChars="400"/>
    </w:pPr>
  </w:style>
  <w:style w:type="paragraph" w:styleId="8">
    <w:name w:val="Date"/>
    <w:basedOn w:val="1"/>
    <w:next w:val="1"/>
    <w:link w:val="22"/>
    <w:qFormat/>
    <w:uiPriority w:val="0"/>
    <w:pPr>
      <w:ind w:left="100" w:leftChars="2500"/>
    </w:pPr>
  </w:style>
  <w:style w:type="paragraph" w:styleId="9">
    <w:name w:val="Balloon Text"/>
    <w:basedOn w:val="1"/>
    <w:semiHidden/>
    <w:qFormat/>
    <w:uiPriority w:val="0"/>
    <w:rPr>
      <w:sz w:val="18"/>
      <w:szCs w:val="18"/>
    </w:rPr>
  </w:style>
  <w:style w:type="paragraph" w:styleId="10">
    <w:name w:val="footer"/>
    <w:basedOn w:val="1"/>
    <w:link w:val="23"/>
    <w:qFormat/>
    <w:uiPriority w:val="99"/>
    <w:pPr>
      <w:tabs>
        <w:tab w:val="center" w:pos="4153"/>
        <w:tab w:val="right" w:pos="8306"/>
      </w:tabs>
      <w:snapToGrid w:val="0"/>
      <w:jc w:val="left"/>
    </w:pPr>
    <w:rPr>
      <w:sz w:val="18"/>
      <w:szCs w:val="18"/>
    </w:rPr>
  </w:style>
  <w:style w:type="paragraph" w:styleId="11">
    <w:name w:val="header"/>
    <w:basedOn w:val="1"/>
    <w:link w:val="24"/>
    <w:qFormat/>
    <w:uiPriority w:val="0"/>
    <w:pPr>
      <w:pBdr>
        <w:bottom w:val="single" w:color="auto" w:sz="6" w:space="1"/>
      </w:pBdr>
      <w:tabs>
        <w:tab w:val="center" w:pos="4153"/>
        <w:tab w:val="right" w:pos="8306"/>
      </w:tabs>
      <w:snapToGrid w:val="0"/>
      <w:jc w:val="center"/>
    </w:pPr>
    <w:rPr>
      <w:sz w:val="18"/>
      <w:szCs w:val="18"/>
    </w:rPr>
  </w:style>
  <w:style w:type="paragraph" w:styleId="12">
    <w:name w:val="toc 1"/>
    <w:basedOn w:val="1"/>
    <w:next w:val="1"/>
    <w:qFormat/>
    <w:uiPriority w:val="39"/>
  </w:style>
  <w:style w:type="paragraph" w:styleId="13">
    <w:name w:val="toc 2"/>
    <w:basedOn w:val="1"/>
    <w:next w:val="1"/>
    <w:qFormat/>
    <w:uiPriority w:val="39"/>
    <w:pPr>
      <w:ind w:left="420" w:leftChars="200"/>
    </w:pPr>
  </w:style>
  <w:style w:type="paragraph" w:styleId="14">
    <w:name w:val="Normal (Web)"/>
    <w:basedOn w:val="1"/>
    <w:qFormat/>
    <w:uiPriority w:val="0"/>
    <w:pPr>
      <w:widowControl/>
      <w:spacing w:before="100" w:beforeAutospacing="1" w:after="100" w:afterAutospacing="1"/>
      <w:jc w:val="left"/>
    </w:pPr>
    <w:rPr>
      <w:rFonts w:ascii="宋体" w:hAnsi="宋体" w:cs="宋体"/>
      <w:kern w:val="0"/>
      <w:sz w:val="24"/>
    </w:rPr>
  </w:style>
  <w:style w:type="character" w:styleId="17">
    <w:name w:val="page number"/>
    <w:qFormat/>
    <w:uiPriority w:val="0"/>
  </w:style>
  <w:style w:type="character" w:styleId="18">
    <w:name w:val="Hyperlink"/>
    <w:qFormat/>
    <w:uiPriority w:val="99"/>
    <w:rPr>
      <w:color w:val="000099"/>
      <w:sz w:val="24"/>
      <w:szCs w:val="24"/>
      <w:u w:val="none"/>
    </w:rPr>
  </w:style>
  <w:style w:type="character" w:customStyle="1" w:styleId="19">
    <w:name w:val="标题 1 字符"/>
    <w:link w:val="2"/>
    <w:qFormat/>
    <w:uiPriority w:val="0"/>
    <w:rPr>
      <w:rFonts w:eastAsia="仿宋"/>
      <w:b/>
      <w:bCs/>
      <w:kern w:val="44"/>
      <w:sz w:val="28"/>
      <w:szCs w:val="44"/>
    </w:rPr>
  </w:style>
  <w:style w:type="character" w:customStyle="1" w:styleId="20">
    <w:name w:val="标题 2 字符"/>
    <w:link w:val="3"/>
    <w:qFormat/>
    <w:uiPriority w:val="0"/>
    <w:rPr>
      <w:rFonts w:ascii="等线 Light" w:hAnsi="等线 Light" w:eastAsia="仿宋"/>
      <w:b/>
      <w:bCs/>
      <w:kern w:val="2"/>
      <w:sz w:val="28"/>
      <w:szCs w:val="32"/>
    </w:rPr>
  </w:style>
  <w:style w:type="character" w:customStyle="1" w:styleId="21">
    <w:name w:val="标题 3 字符"/>
    <w:link w:val="4"/>
    <w:semiHidden/>
    <w:qFormat/>
    <w:uiPriority w:val="0"/>
    <w:rPr>
      <w:rFonts w:eastAsia="仿宋"/>
      <w:b/>
      <w:bCs/>
      <w:kern w:val="2"/>
      <w:sz w:val="32"/>
      <w:szCs w:val="32"/>
    </w:rPr>
  </w:style>
  <w:style w:type="character" w:customStyle="1" w:styleId="22">
    <w:name w:val="日期 字符"/>
    <w:link w:val="8"/>
    <w:qFormat/>
    <w:uiPriority w:val="0"/>
    <w:rPr>
      <w:kern w:val="2"/>
      <w:sz w:val="21"/>
      <w:szCs w:val="24"/>
    </w:rPr>
  </w:style>
  <w:style w:type="character" w:customStyle="1" w:styleId="23">
    <w:name w:val="页脚 字符"/>
    <w:link w:val="10"/>
    <w:qFormat/>
    <w:uiPriority w:val="99"/>
    <w:rPr>
      <w:kern w:val="2"/>
      <w:sz w:val="18"/>
      <w:szCs w:val="18"/>
    </w:rPr>
  </w:style>
  <w:style w:type="character" w:customStyle="1" w:styleId="24">
    <w:name w:val="页眉 字符"/>
    <w:link w:val="11"/>
    <w:qFormat/>
    <w:uiPriority w:val="0"/>
    <w:rPr>
      <w:kern w:val="2"/>
      <w:sz w:val="18"/>
      <w:szCs w:val="18"/>
    </w:rPr>
  </w:style>
  <w:style w:type="paragraph" w:customStyle="1" w:styleId="25">
    <w:name w:val="列表段落1"/>
    <w:basedOn w:val="1"/>
    <w:qFormat/>
    <w:uiPriority w:val="0"/>
    <w:pPr>
      <w:autoSpaceDE w:val="0"/>
      <w:autoSpaceDN w:val="0"/>
      <w:spacing w:before="229"/>
      <w:ind w:left="1069" w:hanging="323"/>
      <w:jc w:val="left"/>
    </w:pPr>
    <w:rPr>
      <w:rFonts w:ascii="仿宋_GB2312" w:hAnsi="仿宋_GB2312" w:eastAsia="仿宋_GB2312" w:cs="仿宋_GB2312"/>
      <w:kern w:val="0"/>
      <w:sz w:val="22"/>
      <w:szCs w:val="22"/>
      <w:lang w:val="zh-CN"/>
    </w:rPr>
  </w:style>
  <w:style w:type="paragraph" w:customStyle="1" w:styleId="26">
    <w:name w:val="标题3"/>
    <w:basedOn w:val="4"/>
    <w:link w:val="27"/>
    <w:qFormat/>
    <w:uiPriority w:val="0"/>
    <w:pPr>
      <w:spacing w:before="0" w:after="0" w:line="560" w:lineRule="exact"/>
    </w:pPr>
    <w:rPr>
      <w:sz w:val="28"/>
    </w:rPr>
  </w:style>
  <w:style w:type="character" w:customStyle="1" w:styleId="27">
    <w:name w:val="标题3 字符"/>
    <w:link w:val="26"/>
    <w:qFormat/>
    <w:uiPriority w:val="0"/>
    <w:rPr>
      <w:rFonts w:eastAsia="仿宋"/>
      <w:b/>
      <w:bCs/>
      <w:kern w:val="2"/>
      <w:sz w:val="28"/>
      <w:szCs w:val="32"/>
    </w:rPr>
  </w:style>
  <w:style w:type="paragraph" w:customStyle="1" w:styleId="28">
    <w:name w:val="TOC 标题1"/>
    <w:basedOn w:val="2"/>
    <w:next w:val="1"/>
    <w:qFormat/>
    <w:uiPriority w:val="39"/>
    <w:pPr>
      <w:widowControl/>
      <w:spacing w:before="240" w:line="259" w:lineRule="auto"/>
      <w:ind w:firstLine="0" w:firstLineChars="0"/>
      <w:jc w:val="left"/>
      <w:outlineLvl w:val="9"/>
    </w:pPr>
    <w:rPr>
      <w:rFonts w:ascii="等线 Light" w:hAnsi="等线 Light" w:eastAsia="等线 Light"/>
      <w:b w:val="0"/>
      <w:bCs w:val="0"/>
      <w:color w:val="2F5496"/>
      <w:kern w:val="0"/>
      <w:sz w:val="32"/>
      <w:szCs w:val="32"/>
    </w:rPr>
  </w:style>
  <w:style w:type="paragraph" w:customStyle="1" w:styleId="29">
    <w:name w:val="图片"/>
    <w:basedOn w:val="1"/>
    <w:link w:val="30"/>
    <w:qFormat/>
    <w:uiPriority w:val="0"/>
    <w:pPr>
      <w:spacing w:line="240" w:lineRule="auto"/>
      <w:ind w:firstLine="0" w:firstLineChars="0"/>
      <w:jc w:val="center"/>
    </w:pPr>
  </w:style>
  <w:style w:type="character" w:customStyle="1" w:styleId="30">
    <w:name w:val="图片 字符"/>
    <w:link w:val="29"/>
    <w:qFormat/>
    <w:uiPriority w:val="0"/>
    <w:rPr>
      <w:rFonts w:eastAsia="仿宋"/>
      <w:kern w:val="2"/>
      <w:sz w:val="28"/>
      <w:szCs w:val="24"/>
    </w:rPr>
  </w:style>
  <w:style w:type="paragraph" w:customStyle="1" w:styleId="31">
    <w:name w:val="修订1"/>
    <w:hidden/>
    <w:unhideWhenUsed/>
    <w:qFormat/>
    <w:uiPriority w:val="99"/>
    <w:rPr>
      <w:rFonts w:ascii="Times New Roman" w:hAnsi="Times New Roman" w:eastAsia="仿宋" w:cs="Times New Roman"/>
      <w:kern w:val="2"/>
      <w:sz w:val="28"/>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1.jpe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218B3F-913B-4155-8186-E8133BEE4471}">
  <ds:schemaRefs/>
</ds:datastoreItem>
</file>

<file path=docProps/app.xml><?xml version="1.0" encoding="utf-8"?>
<Properties xmlns="http://schemas.openxmlformats.org/officeDocument/2006/extended-properties" xmlns:vt="http://schemas.openxmlformats.org/officeDocument/2006/docPropsVTypes">
  <Template>Normal</Template>
  <Company>2ndSpAcE</Company>
  <Pages>20</Pages>
  <Words>8420</Words>
  <Characters>8576</Characters>
  <Lines>76</Lines>
  <Paragraphs>21</Paragraphs>
  <TotalTime>202</TotalTime>
  <ScaleCrop>false</ScaleCrop>
  <LinksUpToDate>false</LinksUpToDate>
  <CharactersWithSpaces>8636</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2023-08-15T11:16:00Z</dcterms:created>
  <dc:creator>liugang</dc:creator>
  <cp:lastModifiedBy>无名</cp:lastModifiedBy>
  <cp:lastPrinted>2021-04-09T02:02:00Z</cp:lastPrinted>
  <dcterms:modified xsi:type="dcterms:W3CDTF">2024-09-20T05:06:16Z</dcterms:modified>
  <dc:title>关于组织审定第十一届全国企业管理现代化创新成果的通知</dc:title>
  <cp:revision>54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2113EF165B924B07A9660BD0F4CDFEE7_12</vt:lpwstr>
  </property>
</Properties>
</file>